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35A7870B" w14:textId="77777777" w:rsidR="0095748B" w:rsidRDefault="0095748B">
      <w:pPr>
        <w:widowControl w:val="0"/>
        <w:pBdr>
          <w:top w:val="nil"/>
          <w:left w:val="nil"/>
          <w:bottom w:val="nil"/>
          <w:right w:val="nil"/>
          <w:between w:val="nil"/>
        </w:pBdr>
        <w:spacing w:line="276" w:lineRule="auto"/>
      </w:pPr>
    </w:p>
    <w:p w14:paraId="76F4915A" w14:textId="77777777" w:rsidR="0095748B" w:rsidRDefault="00000000">
      <w:pPr>
        <w:pStyle w:val="Heading1"/>
        <w:numPr>
          <w:ilvl w:val="0"/>
          <w:numId w:val="1"/>
        </w:numPr>
        <w:spacing w:before="120" w:after="120"/>
        <w:ind w:left="357" w:hanging="357"/>
        <w:jc w:val="center"/>
      </w:pPr>
      <w:r>
        <w:rPr>
          <w:rFonts w:ascii="Arial" w:eastAsia="Arial" w:hAnsi="Arial" w:cs="Arial"/>
          <w:smallCaps/>
          <w:sz w:val="28"/>
          <w:szCs w:val="28"/>
          <w:u w:val="none"/>
        </w:rPr>
        <w:t>DATA PROCESSING AGREEMENT</w:t>
      </w:r>
    </w:p>
    <w:p w14:paraId="1F79288D" w14:textId="77777777" w:rsidR="0095748B" w:rsidRDefault="00000000">
      <w:pPr>
        <w:jc w:val="both"/>
      </w:pPr>
      <w:r>
        <w:rPr>
          <w:rFonts w:ascii="Arial" w:eastAsia="Arial" w:hAnsi="Arial" w:cs="Arial"/>
          <w:sz w:val="20"/>
          <w:szCs w:val="20"/>
        </w:rPr>
        <w:t>This DPA is entered into between the Controller and the Processor and is incorporated into and governed by the terms of the Agreement.</w:t>
      </w:r>
    </w:p>
    <w:p w14:paraId="061570A2" w14:textId="77777777" w:rsidR="0095748B" w:rsidRDefault="0095748B">
      <w:pPr>
        <w:jc w:val="both"/>
        <w:rPr>
          <w:rFonts w:ascii="Arial" w:eastAsia="Arial" w:hAnsi="Arial" w:cs="Arial"/>
          <w:sz w:val="20"/>
          <w:szCs w:val="20"/>
        </w:rPr>
      </w:pPr>
    </w:p>
    <w:p w14:paraId="7F8EAE4C" w14:textId="77777777" w:rsidR="0095748B" w:rsidRDefault="00000000">
      <w:pPr>
        <w:numPr>
          <w:ilvl w:val="0"/>
          <w:numId w:val="2"/>
        </w:numPr>
        <w:pBdr>
          <w:top w:val="nil"/>
          <w:left w:val="nil"/>
          <w:bottom w:val="nil"/>
          <w:right w:val="nil"/>
          <w:between w:val="nil"/>
        </w:pBdr>
        <w:spacing w:line="276" w:lineRule="auto"/>
        <w:ind w:left="709" w:hanging="709"/>
        <w:jc w:val="both"/>
      </w:pPr>
      <w:r>
        <w:rPr>
          <w:rFonts w:ascii="Arial" w:eastAsia="Arial" w:hAnsi="Arial" w:cs="Arial"/>
          <w:b/>
          <w:color w:val="000000"/>
          <w:sz w:val="20"/>
          <w:szCs w:val="20"/>
        </w:rPr>
        <w:t>Definitions</w:t>
      </w:r>
    </w:p>
    <w:p w14:paraId="1FC18356" w14:textId="77777777" w:rsidR="0095748B" w:rsidRDefault="00000000">
      <w:pPr>
        <w:pBdr>
          <w:top w:val="nil"/>
          <w:left w:val="nil"/>
          <w:bottom w:val="nil"/>
          <w:right w:val="nil"/>
          <w:between w:val="nil"/>
        </w:pBdr>
        <w:spacing w:after="120" w:line="276" w:lineRule="auto"/>
        <w:jc w:val="both"/>
        <w:rPr>
          <w:rFonts w:ascii="Calibri" w:eastAsia="Calibri" w:hAnsi="Calibri" w:cs="Calibri"/>
          <w:color w:val="000000"/>
          <w:sz w:val="22"/>
          <w:szCs w:val="22"/>
        </w:rPr>
      </w:pPr>
      <w:r>
        <w:rPr>
          <w:rFonts w:ascii="Arial" w:eastAsia="Arial" w:hAnsi="Arial" w:cs="Arial"/>
          <w:color w:val="000000"/>
          <w:sz w:val="20"/>
          <w:szCs w:val="20"/>
        </w:rPr>
        <w:t>Any capitalised term not defined in this DPA shall have the meaning given to it in</w:t>
      </w:r>
      <w:r>
        <w:rPr>
          <w:rFonts w:ascii="Calibri" w:eastAsia="Calibri" w:hAnsi="Calibri" w:cs="Calibri"/>
          <w:color w:val="000000"/>
          <w:sz w:val="22"/>
          <w:szCs w:val="22"/>
        </w:rPr>
        <w:t xml:space="preserve"> the Agreement.</w:t>
      </w:r>
    </w:p>
    <w:tbl>
      <w:tblPr>
        <w:tblStyle w:val="a"/>
        <w:tblW w:w="9072" w:type="dxa"/>
        <w:tblInd w:w="-6" w:type="dxa"/>
        <w:tblLayout w:type="fixed"/>
        <w:tblLook w:val="0000" w:firstRow="0" w:lastRow="0" w:firstColumn="0" w:lastColumn="0" w:noHBand="0" w:noVBand="0"/>
      </w:tblPr>
      <w:tblGrid>
        <w:gridCol w:w="2693"/>
        <w:gridCol w:w="6379"/>
      </w:tblGrid>
      <w:tr w:rsidR="0095748B" w14:paraId="4C6829B9" w14:textId="77777777">
        <w:tc>
          <w:tcPr>
            <w:tcW w:w="2693" w:type="dxa"/>
          </w:tcPr>
          <w:p w14:paraId="5DD8391B" w14:textId="77777777" w:rsidR="0095748B" w:rsidRDefault="00000000">
            <w:pPr>
              <w:pBdr>
                <w:top w:val="nil"/>
                <w:left w:val="nil"/>
                <w:bottom w:val="nil"/>
                <w:right w:val="nil"/>
                <w:between w:val="nil"/>
              </w:pBdr>
              <w:tabs>
                <w:tab w:val="left" w:pos="709"/>
              </w:tabs>
              <w:spacing w:after="120"/>
              <w:ind w:left="-108"/>
              <w:jc w:val="both"/>
              <w:rPr>
                <w:rFonts w:ascii="Calibri" w:eastAsia="Calibri" w:hAnsi="Calibri" w:cs="Calibri"/>
                <w:color w:val="000000"/>
                <w:sz w:val="22"/>
                <w:szCs w:val="22"/>
              </w:rPr>
            </w:pPr>
            <w:r>
              <w:rPr>
                <w:rFonts w:ascii="Arial" w:eastAsia="Arial" w:hAnsi="Arial" w:cs="Arial"/>
                <w:color w:val="000000"/>
                <w:sz w:val="20"/>
                <w:szCs w:val="20"/>
              </w:rPr>
              <w:t>“</w:t>
            </w:r>
            <w:r>
              <w:rPr>
                <w:rFonts w:ascii="Arial" w:eastAsia="Arial" w:hAnsi="Arial" w:cs="Arial"/>
                <w:b/>
                <w:color w:val="000000"/>
                <w:sz w:val="20"/>
                <w:szCs w:val="20"/>
              </w:rPr>
              <w:t>Affiliate</w:t>
            </w:r>
            <w:r>
              <w:rPr>
                <w:rFonts w:ascii="Arial" w:eastAsia="Arial" w:hAnsi="Arial" w:cs="Arial"/>
                <w:color w:val="000000"/>
                <w:sz w:val="20"/>
                <w:szCs w:val="20"/>
              </w:rPr>
              <w:t>”</w:t>
            </w:r>
          </w:p>
        </w:tc>
        <w:tc>
          <w:tcPr>
            <w:tcW w:w="6379" w:type="dxa"/>
          </w:tcPr>
          <w:p w14:paraId="4B13A9DC" w14:textId="77777777" w:rsidR="0095748B" w:rsidRDefault="00000000">
            <w:pPr>
              <w:pBdr>
                <w:top w:val="nil"/>
                <w:left w:val="nil"/>
                <w:bottom w:val="nil"/>
                <w:right w:val="nil"/>
                <w:between w:val="nil"/>
              </w:pBdr>
              <w:tabs>
                <w:tab w:val="left" w:pos="709"/>
              </w:tabs>
              <w:spacing w:after="120"/>
              <w:ind w:left="-107"/>
              <w:jc w:val="both"/>
              <w:rPr>
                <w:rFonts w:ascii="Calibri" w:eastAsia="Calibri" w:hAnsi="Calibri" w:cs="Calibri"/>
                <w:color w:val="000000"/>
                <w:sz w:val="22"/>
                <w:szCs w:val="22"/>
              </w:rPr>
            </w:pPr>
            <w:r>
              <w:rPr>
                <w:rFonts w:ascii="Arial" w:eastAsia="Arial" w:hAnsi="Arial" w:cs="Arial"/>
                <w:color w:val="000000"/>
                <w:sz w:val="20"/>
                <w:szCs w:val="20"/>
              </w:rPr>
              <w:t xml:space="preserve">means any entity that directly or indirectly controls, is controlled by, or is under common control of a party. “Control,” for purposes of this definition, means direct or indirect ownership or control of more than 50% of the voting interests of a party; </w:t>
            </w:r>
          </w:p>
        </w:tc>
      </w:tr>
      <w:tr w:rsidR="0095748B" w14:paraId="47D92221" w14:textId="77777777">
        <w:tc>
          <w:tcPr>
            <w:tcW w:w="2693" w:type="dxa"/>
          </w:tcPr>
          <w:p w14:paraId="53157F03" w14:textId="77777777" w:rsidR="0095748B" w:rsidRDefault="00000000">
            <w:pPr>
              <w:pBdr>
                <w:top w:val="nil"/>
                <w:left w:val="nil"/>
                <w:bottom w:val="nil"/>
                <w:right w:val="nil"/>
                <w:between w:val="nil"/>
              </w:pBdr>
              <w:tabs>
                <w:tab w:val="left" w:pos="709"/>
              </w:tabs>
              <w:spacing w:after="120"/>
              <w:ind w:left="-108"/>
              <w:jc w:val="both"/>
              <w:rPr>
                <w:rFonts w:ascii="Calibri" w:eastAsia="Calibri" w:hAnsi="Calibri" w:cs="Calibri"/>
                <w:color w:val="000000"/>
                <w:sz w:val="22"/>
                <w:szCs w:val="22"/>
              </w:rPr>
            </w:pPr>
            <w:r>
              <w:rPr>
                <w:rFonts w:ascii="Arial" w:eastAsia="Arial" w:hAnsi="Arial" w:cs="Arial"/>
                <w:b/>
                <w:color w:val="000000"/>
                <w:sz w:val="20"/>
                <w:szCs w:val="20"/>
              </w:rPr>
              <w:t>“Agreement”</w:t>
            </w:r>
          </w:p>
        </w:tc>
        <w:tc>
          <w:tcPr>
            <w:tcW w:w="6379" w:type="dxa"/>
          </w:tcPr>
          <w:p w14:paraId="7AB68A00" w14:textId="77777777" w:rsidR="0095748B" w:rsidRDefault="00000000">
            <w:pPr>
              <w:pBdr>
                <w:top w:val="nil"/>
                <w:left w:val="nil"/>
                <w:bottom w:val="nil"/>
                <w:right w:val="nil"/>
                <w:between w:val="nil"/>
              </w:pBdr>
              <w:tabs>
                <w:tab w:val="left" w:pos="709"/>
              </w:tabs>
              <w:spacing w:after="120"/>
              <w:ind w:left="-107"/>
              <w:jc w:val="both"/>
              <w:rPr>
                <w:rFonts w:ascii="Calibri" w:eastAsia="Calibri" w:hAnsi="Calibri" w:cs="Calibri"/>
                <w:color w:val="000000"/>
                <w:sz w:val="22"/>
                <w:szCs w:val="22"/>
              </w:rPr>
            </w:pPr>
            <w:r>
              <w:rPr>
                <w:rFonts w:ascii="Arial" w:eastAsia="Arial" w:hAnsi="Arial" w:cs="Arial"/>
                <w:color w:val="000000"/>
                <w:sz w:val="20"/>
                <w:szCs w:val="20"/>
              </w:rPr>
              <w:t>means the agreement between the Controller and the Processor for the provision of the Services;</w:t>
            </w:r>
          </w:p>
        </w:tc>
      </w:tr>
      <w:tr w:rsidR="0095748B" w14:paraId="7DB33669" w14:textId="77777777">
        <w:tc>
          <w:tcPr>
            <w:tcW w:w="2693" w:type="dxa"/>
          </w:tcPr>
          <w:p w14:paraId="6FFF16B0" w14:textId="77777777" w:rsidR="0095748B" w:rsidRDefault="00000000">
            <w:pPr>
              <w:pBdr>
                <w:top w:val="nil"/>
                <w:left w:val="nil"/>
                <w:bottom w:val="nil"/>
                <w:right w:val="nil"/>
                <w:between w:val="nil"/>
              </w:pBdr>
              <w:tabs>
                <w:tab w:val="left" w:pos="709"/>
              </w:tabs>
              <w:spacing w:after="120"/>
              <w:ind w:left="-108"/>
              <w:jc w:val="both"/>
              <w:rPr>
                <w:rFonts w:ascii="Calibri" w:eastAsia="Calibri" w:hAnsi="Calibri" w:cs="Calibri"/>
                <w:color w:val="000000"/>
                <w:sz w:val="22"/>
                <w:szCs w:val="22"/>
              </w:rPr>
            </w:pPr>
            <w:r>
              <w:rPr>
                <w:rFonts w:ascii="Arial" w:eastAsia="Arial" w:hAnsi="Arial" w:cs="Arial"/>
                <w:b/>
                <w:color w:val="000000"/>
                <w:sz w:val="20"/>
                <w:szCs w:val="20"/>
              </w:rPr>
              <w:t>“CCPA”</w:t>
            </w:r>
          </w:p>
        </w:tc>
        <w:tc>
          <w:tcPr>
            <w:tcW w:w="6379" w:type="dxa"/>
          </w:tcPr>
          <w:p w14:paraId="281661D0" w14:textId="77777777" w:rsidR="0095748B" w:rsidRDefault="00000000">
            <w:pPr>
              <w:pBdr>
                <w:top w:val="nil"/>
                <w:left w:val="nil"/>
                <w:bottom w:val="nil"/>
                <w:right w:val="nil"/>
                <w:between w:val="nil"/>
              </w:pBdr>
              <w:tabs>
                <w:tab w:val="left" w:pos="709"/>
              </w:tabs>
              <w:spacing w:after="120"/>
              <w:ind w:left="-107"/>
              <w:jc w:val="both"/>
              <w:rPr>
                <w:rFonts w:ascii="Calibri" w:eastAsia="Calibri" w:hAnsi="Calibri" w:cs="Calibri"/>
                <w:color w:val="000000"/>
                <w:sz w:val="22"/>
                <w:szCs w:val="22"/>
              </w:rPr>
            </w:pPr>
            <w:r>
              <w:rPr>
                <w:rFonts w:ascii="Arial" w:eastAsia="Arial" w:hAnsi="Arial" w:cs="Arial"/>
                <w:color w:val="000000"/>
                <w:sz w:val="20"/>
                <w:szCs w:val="20"/>
              </w:rPr>
              <w:t>means the California Consumer Privacy Act of 2018, along with its regulations and as amended from time to time;</w:t>
            </w:r>
          </w:p>
        </w:tc>
      </w:tr>
      <w:tr w:rsidR="0095748B" w14:paraId="55C0DF2B" w14:textId="77777777">
        <w:tc>
          <w:tcPr>
            <w:tcW w:w="2693" w:type="dxa"/>
          </w:tcPr>
          <w:p w14:paraId="5F3B4FC8" w14:textId="77777777" w:rsidR="0095748B" w:rsidRDefault="00000000">
            <w:pPr>
              <w:pBdr>
                <w:top w:val="nil"/>
                <w:left w:val="nil"/>
                <w:bottom w:val="nil"/>
                <w:right w:val="nil"/>
                <w:between w:val="nil"/>
              </w:pBdr>
              <w:tabs>
                <w:tab w:val="left" w:pos="709"/>
              </w:tabs>
              <w:spacing w:after="120"/>
              <w:ind w:left="-108"/>
              <w:rPr>
                <w:rFonts w:ascii="Calibri" w:eastAsia="Calibri" w:hAnsi="Calibri" w:cs="Calibri"/>
                <w:color w:val="000000"/>
                <w:sz w:val="22"/>
                <w:szCs w:val="22"/>
              </w:rPr>
            </w:pPr>
            <w:r>
              <w:rPr>
                <w:rFonts w:ascii="Arial" w:eastAsia="Arial" w:hAnsi="Arial" w:cs="Arial"/>
                <w:b/>
                <w:color w:val="000000"/>
                <w:sz w:val="20"/>
                <w:szCs w:val="20"/>
              </w:rPr>
              <w:t>“Controller”</w:t>
            </w:r>
          </w:p>
        </w:tc>
        <w:tc>
          <w:tcPr>
            <w:tcW w:w="6379" w:type="dxa"/>
          </w:tcPr>
          <w:p w14:paraId="01708C3E" w14:textId="77777777" w:rsidR="0095748B" w:rsidRDefault="00000000">
            <w:pPr>
              <w:pBdr>
                <w:top w:val="nil"/>
                <w:left w:val="nil"/>
                <w:bottom w:val="nil"/>
                <w:right w:val="nil"/>
                <w:between w:val="nil"/>
              </w:pBdr>
              <w:tabs>
                <w:tab w:val="left" w:pos="709"/>
              </w:tabs>
              <w:spacing w:after="120"/>
              <w:ind w:left="-108"/>
              <w:jc w:val="both"/>
              <w:rPr>
                <w:rFonts w:ascii="Calibri" w:eastAsia="Calibri" w:hAnsi="Calibri" w:cs="Calibri"/>
                <w:color w:val="000000"/>
                <w:sz w:val="22"/>
                <w:szCs w:val="22"/>
              </w:rPr>
            </w:pPr>
            <w:r>
              <w:rPr>
                <w:rFonts w:ascii="Arial" w:eastAsia="Arial" w:hAnsi="Arial" w:cs="Arial"/>
                <w:color w:val="000000"/>
                <w:sz w:val="20"/>
                <w:szCs w:val="20"/>
              </w:rPr>
              <w:t>means the Customer;</w:t>
            </w:r>
          </w:p>
        </w:tc>
      </w:tr>
      <w:tr w:rsidR="0095748B" w14:paraId="408AE7CE" w14:textId="77777777">
        <w:tc>
          <w:tcPr>
            <w:tcW w:w="2693" w:type="dxa"/>
          </w:tcPr>
          <w:p w14:paraId="633E5ABF" w14:textId="77777777" w:rsidR="0095748B" w:rsidRDefault="00000000">
            <w:pPr>
              <w:pBdr>
                <w:top w:val="nil"/>
                <w:left w:val="nil"/>
                <w:bottom w:val="nil"/>
                <w:right w:val="nil"/>
                <w:between w:val="nil"/>
              </w:pBdr>
              <w:tabs>
                <w:tab w:val="left" w:pos="709"/>
              </w:tabs>
              <w:spacing w:after="120"/>
              <w:ind w:left="-108"/>
              <w:rPr>
                <w:rFonts w:ascii="Calibri" w:eastAsia="Calibri" w:hAnsi="Calibri" w:cs="Calibri"/>
                <w:color w:val="000000"/>
                <w:sz w:val="22"/>
                <w:szCs w:val="22"/>
              </w:rPr>
            </w:pPr>
            <w:r>
              <w:rPr>
                <w:rFonts w:ascii="Arial" w:eastAsia="Arial" w:hAnsi="Arial" w:cs="Arial"/>
                <w:b/>
                <w:color w:val="000000"/>
                <w:sz w:val="20"/>
                <w:szCs w:val="20"/>
              </w:rPr>
              <w:t>“Data Protection Law”</w:t>
            </w:r>
          </w:p>
        </w:tc>
        <w:tc>
          <w:tcPr>
            <w:tcW w:w="6379" w:type="dxa"/>
          </w:tcPr>
          <w:p w14:paraId="6A2C4CCB" w14:textId="77777777" w:rsidR="0095748B" w:rsidRDefault="00000000">
            <w:pPr>
              <w:pBdr>
                <w:top w:val="nil"/>
                <w:left w:val="nil"/>
                <w:bottom w:val="nil"/>
                <w:right w:val="nil"/>
                <w:between w:val="nil"/>
              </w:pBdr>
              <w:tabs>
                <w:tab w:val="left" w:pos="709"/>
              </w:tabs>
              <w:spacing w:after="120"/>
              <w:ind w:left="-108"/>
              <w:jc w:val="both"/>
              <w:rPr>
                <w:rFonts w:ascii="Calibri" w:eastAsia="Calibri" w:hAnsi="Calibri" w:cs="Calibri"/>
                <w:color w:val="000000"/>
                <w:sz w:val="22"/>
                <w:szCs w:val="22"/>
              </w:rPr>
            </w:pPr>
            <w:r>
              <w:rPr>
                <w:rFonts w:ascii="Arial" w:eastAsia="Arial" w:hAnsi="Arial" w:cs="Arial"/>
                <w:color w:val="000000"/>
                <w:sz w:val="20"/>
                <w:szCs w:val="20"/>
              </w:rPr>
              <w:t>means all laws and regulations, including laws and regulations of the European Union, the European Economic Area, their member states and the United Kingdom any amendments, replacements or renewals thereof, applicable to the processing of Personal Data, including where applicable the Data Protection, Privacy and Electronic Communications (Amendments etc.) (EU Exit) Regulations 2020, the EU GDPR, the UK GDPR, the FDPA, the UK Data Protection Act 2018, the CCPA and any applicable national implementing laws, regulations and secondary legislation relating to the processing of the Personal Data and the privacy of electronic communications, as amended, replaced or updated from time to time, including the Privacy and Electronic Communications Directive (2002/58/EC) and the Privacy and Electronic Communications (EC Directive) Regulations 2003 (SI 2003/2426);</w:t>
            </w:r>
          </w:p>
        </w:tc>
      </w:tr>
      <w:tr w:rsidR="0095748B" w14:paraId="2180D45D" w14:textId="77777777">
        <w:tc>
          <w:tcPr>
            <w:tcW w:w="2693" w:type="dxa"/>
          </w:tcPr>
          <w:p w14:paraId="2BEB9E6E" w14:textId="77777777" w:rsidR="0095748B" w:rsidRDefault="00000000">
            <w:pPr>
              <w:pBdr>
                <w:top w:val="nil"/>
                <w:left w:val="nil"/>
                <w:bottom w:val="nil"/>
                <w:right w:val="nil"/>
                <w:between w:val="nil"/>
              </w:pBdr>
              <w:tabs>
                <w:tab w:val="left" w:pos="709"/>
              </w:tabs>
              <w:spacing w:after="120"/>
              <w:ind w:left="-108"/>
              <w:jc w:val="both"/>
              <w:rPr>
                <w:rFonts w:ascii="Calibri" w:eastAsia="Calibri" w:hAnsi="Calibri" w:cs="Calibri"/>
                <w:color w:val="000000"/>
                <w:sz w:val="22"/>
                <w:szCs w:val="22"/>
              </w:rPr>
            </w:pPr>
            <w:r>
              <w:rPr>
                <w:rFonts w:ascii="Arial" w:eastAsia="Arial" w:hAnsi="Arial" w:cs="Arial"/>
                <w:b/>
                <w:color w:val="000000"/>
                <w:sz w:val="20"/>
                <w:szCs w:val="20"/>
              </w:rPr>
              <w:t>“Data Subject”</w:t>
            </w:r>
          </w:p>
        </w:tc>
        <w:tc>
          <w:tcPr>
            <w:tcW w:w="6379" w:type="dxa"/>
          </w:tcPr>
          <w:p w14:paraId="0929BE93" w14:textId="77777777" w:rsidR="0095748B" w:rsidRDefault="00000000">
            <w:pPr>
              <w:pBdr>
                <w:top w:val="nil"/>
                <w:left w:val="nil"/>
                <w:bottom w:val="nil"/>
                <w:right w:val="nil"/>
                <w:between w:val="nil"/>
              </w:pBdr>
              <w:tabs>
                <w:tab w:val="left" w:pos="709"/>
              </w:tabs>
              <w:spacing w:after="120"/>
              <w:ind w:left="-108"/>
              <w:jc w:val="both"/>
              <w:rPr>
                <w:rFonts w:ascii="Calibri" w:eastAsia="Calibri" w:hAnsi="Calibri" w:cs="Calibri"/>
                <w:color w:val="000000"/>
                <w:sz w:val="22"/>
                <w:szCs w:val="22"/>
              </w:rPr>
            </w:pPr>
            <w:r>
              <w:rPr>
                <w:rFonts w:ascii="Arial" w:eastAsia="Arial" w:hAnsi="Arial" w:cs="Arial"/>
                <w:color w:val="000000"/>
                <w:sz w:val="20"/>
                <w:szCs w:val="20"/>
              </w:rPr>
              <w:t>shall have the same meaning as in Data Protection Law or means a “Consumer” as that term is defined in the CCPA;</w:t>
            </w:r>
          </w:p>
        </w:tc>
      </w:tr>
      <w:tr w:rsidR="0095748B" w14:paraId="73553CB6" w14:textId="77777777">
        <w:tc>
          <w:tcPr>
            <w:tcW w:w="2693" w:type="dxa"/>
          </w:tcPr>
          <w:p w14:paraId="665FA7C9" w14:textId="77777777" w:rsidR="0095748B" w:rsidRDefault="00000000">
            <w:pPr>
              <w:pBdr>
                <w:top w:val="nil"/>
                <w:left w:val="nil"/>
                <w:bottom w:val="nil"/>
                <w:right w:val="nil"/>
                <w:between w:val="nil"/>
              </w:pBdr>
              <w:tabs>
                <w:tab w:val="left" w:pos="709"/>
              </w:tabs>
              <w:spacing w:after="120"/>
              <w:ind w:left="-108"/>
              <w:jc w:val="both"/>
              <w:rPr>
                <w:rFonts w:ascii="Calibri" w:eastAsia="Calibri" w:hAnsi="Calibri" w:cs="Calibri"/>
                <w:color w:val="000000"/>
                <w:sz w:val="22"/>
                <w:szCs w:val="22"/>
              </w:rPr>
            </w:pPr>
            <w:r>
              <w:rPr>
                <w:rFonts w:ascii="Arial" w:eastAsia="Arial" w:hAnsi="Arial" w:cs="Arial"/>
                <w:b/>
                <w:color w:val="000000"/>
                <w:sz w:val="20"/>
                <w:szCs w:val="20"/>
              </w:rPr>
              <w:t>“DPA”</w:t>
            </w:r>
          </w:p>
        </w:tc>
        <w:tc>
          <w:tcPr>
            <w:tcW w:w="6379" w:type="dxa"/>
          </w:tcPr>
          <w:p w14:paraId="7EB4A61A" w14:textId="77777777" w:rsidR="0095748B" w:rsidRDefault="00000000">
            <w:pPr>
              <w:pBdr>
                <w:top w:val="nil"/>
                <w:left w:val="nil"/>
                <w:bottom w:val="nil"/>
                <w:right w:val="nil"/>
                <w:between w:val="nil"/>
              </w:pBdr>
              <w:tabs>
                <w:tab w:val="left" w:pos="709"/>
              </w:tabs>
              <w:spacing w:after="120"/>
              <w:ind w:left="-108"/>
              <w:jc w:val="both"/>
              <w:rPr>
                <w:rFonts w:ascii="Calibri" w:eastAsia="Calibri" w:hAnsi="Calibri" w:cs="Calibri"/>
                <w:color w:val="000000"/>
                <w:sz w:val="22"/>
                <w:szCs w:val="22"/>
              </w:rPr>
            </w:pPr>
            <w:r>
              <w:rPr>
                <w:rFonts w:ascii="Arial" w:eastAsia="Arial" w:hAnsi="Arial" w:cs="Arial"/>
                <w:color w:val="000000"/>
                <w:sz w:val="20"/>
                <w:szCs w:val="20"/>
              </w:rPr>
              <w:t>means this data processing agreement together with Exhibits A, B and C;</w:t>
            </w:r>
          </w:p>
        </w:tc>
      </w:tr>
      <w:tr w:rsidR="0095748B" w14:paraId="1017B640" w14:textId="77777777">
        <w:tc>
          <w:tcPr>
            <w:tcW w:w="2693" w:type="dxa"/>
          </w:tcPr>
          <w:p w14:paraId="28070954" w14:textId="77777777" w:rsidR="0095748B" w:rsidRDefault="00000000">
            <w:pPr>
              <w:pBdr>
                <w:top w:val="nil"/>
                <w:left w:val="nil"/>
                <w:bottom w:val="nil"/>
                <w:right w:val="nil"/>
                <w:between w:val="nil"/>
              </w:pBdr>
              <w:tabs>
                <w:tab w:val="left" w:pos="709"/>
              </w:tabs>
              <w:spacing w:after="120"/>
              <w:ind w:left="-108"/>
              <w:jc w:val="both"/>
              <w:rPr>
                <w:rFonts w:ascii="Calibri" w:eastAsia="Calibri" w:hAnsi="Calibri" w:cs="Calibri"/>
                <w:color w:val="000000"/>
                <w:sz w:val="22"/>
                <w:szCs w:val="22"/>
              </w:rPr>
            </w:pPr>
            <w:r>
              <w:rPr>
                <w:rFonts w:ascii="Arial" w:eastAsia="Arial" w:hAnsi="Arial" w:cs="Arial"/>
                <w:b/>
                <w:color w:val="000000"/>
                <w:sz w:val="20"/>
                <w:szCs w:val="20"/>
              </w:rPr>
              <w:t>“EEA”</w:t>
            </w:r>
          </w:p>
        </w:tc>
        <w:tc>
          <w:tcPr>
            <w:tcW w:w="6379" w:type="dxa"/>
          </w:tcPr>
          <w:p w14:paraId="30FDB50E" w14:textId="77777777" w:rsidR="0095748B" w:rsidRDefault="00000000">
            <w:pPr>
              <w:pBdr>
                <w:top w:val="nil"/>
                <w:left w:val="nil"/>
                <w:bottom w:val="nil"/>
                <w:right w:val="nil"/>
                <w:between w:val="nil"/>
              </w:pBdr>
              <w:tabs>
                <w:tab w:val="left" w:pos="709"/>
              </w:tabs>
              <w:spacing w:after="120"/>
              <w:ind w:left="-108"/>
              <w:jc w:val="both"/>
              <w:rPr>
                <w:rFonts w:ascii="Calibri" w:eastAsia="Calibri" w:hAnsi="Calibri" w:cs="Calibri"/>
                <w:color w:val="000000"/>
                <w:sz w:val="22"/>
                <w:szCs w:val="22"/>
              </w:rPr>
            </w:pPr>
            <w:r>
              <w:rPr>
                <w:rFonts w:ascii="Arial" w:eastAsia="Arial" w:hAnsi="Arial" w:cs="Arial"/>
                <w:color w:val="000000"/>
                <w:sz w:val="20"/>
                <w:szCs w:val="20"/>
              </w:rPr>
              <w:t>means the European Economic Area;</w:t>
            </w:r>
          </w:p>
        </w:tc>
      </w:tr>
      <w:tr w:rsidR="0095748B" w14:paraId="79C99D83" w14:textId="77777777">
        <w:tc>
          <w:tcPr>
            <w:tcW w:w="2693" w:type="dxa"/>
          </w:tcPr>
          <w:p w14:paraId="78B778C2" w14:textId="77777777" w:rsidR="0095748B" w:rsidRDefault="00000000">
            <w:pPr>
              <w:pBdr>
                <w:top w:val="nil"/>
                <w:left w:val="nil"/>
                <w:bottom w:val="nil"/>
                <w:right w:val="nil"/>
                <w:between w:val="nil"/>
              </w:pBdr>
              <w:tabs>
                <w:tab w:val="left" w:pos="709"/>
              </w:tabs>
              <w:spacing w:after="120"/>
              <w:ind w:left="-108"/>
              <w:jc w:val="both"/>
              <w:rPr>
                <w:rFonts w:ascii="Calibri" w:eastAsia="Calibri" w:hAnsi="Calibri" w:cs="Calibri"/>
                <w:color w:val="000000"/>
                <w:sz w:val="22"/>
                <w:szCs w:val="22"/>
              </w:rPr>
            </w:pPr>
            <w:r>
              <w:rPr>
                <w:rFonts w:ascii="Arial" w:eastAsia="Arial" w:hAnsi="Arial" w:cs="Arial"/>
                <w:b/>
                <w:color w:val="000000"/>
                <w:sz w:val="20"/>
                <w:szCs w:val="20"/>
              </w:rPr>
              <w:t>“EU GDPR”</w:t>
            </w:r>
          </w:p>
        </w:tc>
        <w:tc>
          <w:tcPr>
            <w:tcW w:w="6379" w:type="dxa"/>
          </w:tcPr>
          <w:p w14:paraId="31A09D91" w14:textId="77777777" w:rsidR="0095748B" w:rsidRDefault="00000000">
            <w:pPr>
              <w:pBdr>
                <w:top w:val="nil"/>
                <w:left w:val="nil"/>
                <w:bottom w:val="nil"/>
                <w:right w:val="nil"/>
                <w:between w:val="nil"/>
              </w:pBdr>
              <w:tabs>
                <w:tab w:val="left" w:pos="709"/>
              </w:tabs>
              <w:spacing w:after="120"/>
              <w:ind w:left="-108"/>
              <w:jc w:val="both"/>
              <w:rPr>
                <w:rFonts w:ascii="Calibri" w:eastAsia="Calibri" w:hAnsi="Calibri" w:cs="Calibri"/>
                <w:color w:val="000000"/>
                <w:sz w:val="22"/>
                <w:szCs w:val="22"/>
              </w:rPr>
            </w:pPr>
            <w:r>
              <w:rPr>
                <w:rFonts w:ascii="Arial" w:eastAsia="Arial" w:hAnsi="Arial" w:cs="Arial"/>
                <w:color w:val="000000"/>
                <w:sz w:val="20"/>
                <w:szCs w:val="20"/>
              </w:rPr>
              <w:t>means Regulation (EU) 2016/679 of the European Parliament and of the Council of 27 April 2016 on the protection of natural persons with regard to the processing of personal data and on the free movement of such data, (General Data Protection Regulation);</w:t>
            </w:r>
          </w:p>
        </w:tc>
      </w:tr>
      <w:tr w:rsidR="0095748B" w14:paraId="3DF86F2E" w14:textId="77777777">
        <w:tc>
          <w:tcPr>
            <w:tcW w:w="2693" w:type="dxa"/>
          </w:tcPr>
          <w:p w14:paraId="46ACA2A0" w14:textId="77777777" w:rsidR="0095748B" w:rsidRDefault="00000000">
            <w:pPr>
              <w:pBdr>
                <w:top w:val="nil"/>
                <w:left w:val="nil"/>
                <w:bottom w:val="nil"/>
                <w:right w:val="nil"/>
                <w:between w:val="nil"/>
              </w:pBdr>
              <w:tabs>
                <w:tab w:val="left" w:pos="709"/>
              </w:tabs>
              <w:spacing w:after="120"/>
              <w:ind w:left="-108"/>
              <w:jc w:val="both"/>
              <w:rPr>
                <w:rFonts w:ascii="Calibri" w:eastAsia="Calibri" w:hAnsi="Calibri" w:cs="Calibri"/>
                <w:color w:val="000000"/>
                <w:sz w:val="22"/>
                <w:szCs w:val="22"/>
              </w:rPr>
            </w:pPr>
            <w:r>
              <w:rPr>
                <w:rFonts w:ascii="Arial" w:eastAsia="Arial" w:hAnsi="Arial" w:cs="Arial"/>
                <w:b/>
                <w:color w:val="000000"/>
                <w:sz w:val="20"/>
                <w:szCs w:val="20"/>
              </w:rPr>
              <w:t>“FDPA”</w:t>
            </w:r>
          </w:p>
        </w:tc>
        <w:tc>
          <w:tcPr>
            <w:tcW w:w="6379" w:type="dxa"/>
          </w:tcPr>
          <w:p w14:paraId="67E7AD83" w14:textId="77777777" w:rsidR="0095748B" w:rsidRDefault="00000000">
            <w:pPr>
              <w:pBdr>
                <w:top w:val="nil"/>
                <w:left w:val="nil"/>
                <w:bottom w:val="nil"/>
                <w:right w:val="nil"/>
                <w:between w:val="nil"/>
              </w:pBdr>
              <w:tabs>
                <w:tab w:val="left" w:pos="709"/>
              </w:tabs>
              <w:spacing w:after="120"/>
              <w:ind w:left="-108"/>
              <w:jc w:val="both"/>
              <w:rPr>
                <w:rFonts w:ascii="Calibri" w:eastAsia="Calibri" w:hAnsi="Calibri" w:cs="Calibri"/>
                <w:color w:val="000000"/>
                <w:sz w:val="22"/>
                <w:szCs w:val="22"/>
              </w:rPr>
            </w:pPr>
            <w:r>
              <w:rPr>
                <w:rFonts w:ascii="Arial" w:eastAsia="Arial" w:hAnsi="Arial" w:cs="Arial"/>
                <w:color w:val="000000"/>
                <w:sz w:val="20"/>
                <w:szCs w:val="20"/>
              </w:rPr>
              <w:t>means the Swiss Federal Act on Data Protection of 19 June 1992 (SR 235.1; FDPA) and as amended from time to time;</w:t>
            </w:r>
          </w:p>
        </w:tc>
      </w:tr>
      <w:tr w:rsidR="0095748B" w14:paraId="6612AA22" w14:textId="77777777">
        <w:tc>
          <w:tcPr>
            <w:tcW w:w="2693" w:type="dxa"/>
          </w:tcPr>
          <w:p w14:paraId="7ECE0376" w14:textId="77777777" w:rsidR="0095748B" w:rsidRDefault="00000000">
            <w:pPr>
              <w:pBdr>
                <w:top w:val="nil"/>
                <w:left w:val="nil"/>
                <w:bottom w:val="nil"/>
                <w:right w:val="nil"/>
                <w:between w:val="nil"/>
              </w:pBdr>
              <w:tabs>
                <w:tab w:val="left" w:pos="709"/>
              </w:tabs>
              <w:spacing w:after="120"/>
              <w:ind w:left="-108"/>
              <w:jc w:val="both"/>
              <w:rPr>
                <w:rFonts w:ascii="Calibri" w:eastAsia="Calibri" w:hAnsi="Calibri" w:cs="Calibri"/>
                <w:color w:val="000000"/>
                <w:sz w:val="22"/>
                <w:szCs w:val="22"/>
              </w:rPr>
            </w:pPr>
            <w:r>
              <w:rPr>
                <w:rFonts w:ascii="Arial" w:eastAsia="Arial" w:hAnsi="Arial" w:cs="Arial"/>
                <w:b/>
                <w:color w:val="000000"/>
                <w:sz w:val="20"/>
                <w:szCs w:val="20"/>
              </w:rPr>
              <w:t>“Personal Data”</w:t>
            </w:r>
          </w:p>
        </w:tc>
        <w:tc>
          <w:tcPr>
            <w:tcW w:w="6379" w:type="dxa"/>
          </w:tcPr>
          <w:p w14:paraId="4067B835" w14:textId="77777777" w:rsidR="0095748B" w:rsidRDefault="00000000">
            <w:pPr>
              <w:pBdr>
                <w:top w:val="nil"/>
                <w:left w:val="nil"/>
                <w:bottom w:val="nil"/>
                <w:right w:val="nil"/>
                <w:between w:val="nil"/>
              </w:pBdr>
              <w:tabs>
                <w:tab w:val="left" w:pos="709"/>
              </w:tabs>
              <w:spacing w:after="120"/>
              <w:ind w:left="-108"/>
              <w:jc w:val="both"/>
              <w:rPr>
                <w:rFonts w:ascii="Calibri" w:eastAsia="Calibri" w:hAnsi="Calibri" w:cs="Calibri"/>
                <w:color w:val="000000"/>
                <w:sz w:val="22"/>
                <w:szCs w:val="22"/>
              </w:rPr>
            </w:pPr>
            <w:r>
              <w:rPr>
                <w:rFonts w:ascii="Arial" w:eastAsia="Arial" w:hAnsi="Arial" w:cs="Arial"/>
                <w:color w:val="000000"/>
                <w:sz w:val="20"/>
                <w:szCs w:val="20"/>
              </w:rPr>
              <w:t>shall have the same meaning as in Data Protection Law;</w:t>
            </w:r>
          </w:p>
        </w:tc>
      </w:tr>
      <w:tr w:rsidR="0095748B" w14:paraId="26C29E35" w14:textId="77777777">
        <w:tc>
          <w:tcPr>
            <w:tcW w:w="2693" w:type="dxa"/>
          </w:tcPr>
          <w:p w14:paraId="7515D53B" w14:textId="77777777" w:rsidR="0095748B" w:rsidRDefault="00000000">
            <w:pPr>
              <w:pBdr>
                <w:top w:val="nil"/>
                <w:left w:val="nil"/>
                <w:bottom w:val="nil"/>
                <w:right w:val="nil"/>
                <w:between w:val="nil"/>
              </w:pBdr>
              <w:tabs>
                <w:tab w:val="left" w:pos="709"/>
              </w:tabs>
              <w:spacing w:after="120"/>
              <w:ind w:left="-108"/>
              <w:jc w:val="both"/>
              <w:rPr>
                <w:rFonts w:ascii="Calibri" w:eastAsia="Calibri" w:hAnsi="Calibri" w:cs="Calibri"/>
                <w:color w:val="000000"/>
                <w:sz w:val="22"/>
                <w:szCs w:val="22"/>
              </w:rPr>
            </w:pPr>
            <w:r>
              <w:rPr>
                <w:rFonts w:ascii="Arial" w:eastAsia="Arial" w:hAnsi="Arial" w:cs="Arial"/>
                <w:b/>
                <w:color w:val="000000"/>
                <w:sz w:val="20"/>
                <w:szCs w:val="20"/>
              </w:rPr>
              <w:t>“Processor”</w:t>
            </w:r>
          </w:p>
        </w:tc>
        <w:tc>
          <w:tcPr>
            <w:tcW w:w="6379" w:type="dxa"/>
          </w:tcPr>
          <w:p w14:paraId="61A23470" w14:textId="77777777" w:rsidR="0095748B" w:rsidRDefault="00000000">
            <w:pPr>
              <w:pBdr>
                <w:top w:val="nil"/>
                <w:left w:val="nil"/>
                <w:bottom w:val="nil"/>
                <w:right w:val="nil"/>
                <w:between w:val="nil"/>
              </w:pBdr>
              <w:tabs>
                <w:tab w:val="left" w:pos="709"/>
              </w:tabs>
              <w:spacing w:after="120"/>
              <w:ind w:left="-108"/>
              <w:jc w:val="both"/>
              <w:rPr>
                <w:rFonts w:ascii="Calibri" w:eastAsia="Calibri" w:hAnsi="Calibri" w:cs="Calibri"/>
                <w:color w:val="000000"/>
                <w:sz w:val="22"/>
                <w:szCs w:val="22"/>
              </w:rPr>
            </w:pPr>
            <w:r>
              <w:rPr>
                <w:rFonts w:ascii="Arial" w:eastAsia="Arial" w:hAnsi="Arial" w:cs="Arial"/>
                <w:color w:val="000000"/>
                <w:sz w:val="20"/>
                <w:szCs w:val="20"/>
              </w:rPr>
              <w:t>means the Company, including as applicable any “Service Provider” as that term is defined by the CCPA;</w:t>
            </w:r>
          </w:p>
        </w:tc>
      </w:tr>
      <w:tr w:rsidR="0095748B" w14:paraId="6B52849B" w14:textId="77777777">
        <w:tc>
          <w:tcPr>
            <w:tcW w:w="2693" w:type="dxa"/>
          </w:tcPr>
          <w:p w14:paraId="133C11DA" w14:textId="77777777" w:rsidR="0095748B" w:rsidRDefault="00000000">
            <w:pPr>
              <w:pBdr>
                <w:top w:val="nil"/>
                <w:left w:val="nil"/>
                <w:bottom w:val="nil"/>
                <w:right w:val="nil"/>
                <w:between w:val="nil"/>
              </w:pBdr>
              <w:tabs>
                <w:tab w:val="left" w:pos="709"/>
              </w:tabs>
              <w:spacing w:after="120"/>
              <w:ind w:left="-108"/>
              <w:jc w:val="both"/>
              <w:rPr>
                <w:rFonts w:ascii="Calibri" w:eastAsia="Calibri" w:hAnsi="Calibri" w:cs="Calibri"/>
                <w:color w:val="000000"/>
                <w:sz w:val="22"/>
                <w:szCs w:val="22"/>
              </w:rPr>
            </w:pPr>
            <w:r>
              <w:rPr>
                <w:rFonts w:ascii="Arial" w:eastAsia="Arial" w:hAnsi="Arial" w:cs="Arial"/>
                <w:b/>
                <w:color w:val="000000"/>
                <w:sz w:val="20"/>
                <w:szCs w:val="20"/>
              </w:rPr>
              <w:t>“Restricted Transfer”</w:t>
            </w:r>
          </w:p>
        </w:tc>
        <w:tc>
          <w:tcPr>
            <w:tcW w:w="6379" w:type="dxa"/>
          </w:tcPr>
          <w:p w14:paraId="02858D53" w14:textId="77777777" w:rsidR="0095748B" w:rsidRDefault="00000000">
            <w:pPr>
              <w:pBdr>
                <w:top w:val="nil"/>
                <w:left w:val="nil"/>
                <w:bottom w:val="nil"/>
                <w:right w:val="nil"/>
                <w:between w:val="nil"/>
              </w:pBdr>
              <w:tabs>
                <w:tab w:val="left" w:pos="709"/>
              </w:tabs>
              <w:ind w:left="-108"/>
              <w:jc w:val="both"/>
              <w:rPr>
                <w:rFonts w:ascii="Calibri" w:eastAsia="Calibri" w:hAnsi="Calibri" w:cs="Calibri"/>
                <w:color w:val="000000"/>
                <w:sz w:val="22"/>
                <w:szCs w:val="22"/>
              </w:rPr>
            </w:pPr>
            <w:r>
              <w:rPr>
                <w:rFonts w:ascii="Arial" w:eastAsia="Arial" w:hAnsi="Arial" w:cs="Arial"/>
                <w:color w:val="000000"/>
                <w:sz w:val="20"/>
                <w:szCs w:val="20"/>
              </w:rPr>
              <w:t xml:space="preserve">means: </w:t>
            </w:r>
          </w:p>
          <w:p w14:paraId="588B544F" w14:textId="77777777" w:rsidR="0095748B" w:rsidRDefault="00000000">
            <w:pPr>
              <w:pBdr>
                <w:top w:val="nil"/>
                <w:left w:val="nil"/>
                <w:bottom w:val="nil"/>
                <w:right w:val="nil"/>
                <w:between w:val="nil"/>
              </w:pBdr>
              <w:tabs>
                <w:tab w:val="left" w:pos="709"/>
              </w:tabs>
              <w:ind w:left="-108"/>
              <w:jc w:val="both"/>
              <w:rPr>
                <w:rFonts w:ascii="Calibri" w:eastAsia="Calibri" w:hAnsi="Calibri" w:cs="Calibri"/>
                <w:color w:val="000000"/>
                <w:sz w:val="22"/>
                <w:szCs w:val="22"/>
              </w:rPr>
            </w:pPr>
            <w:r>
              <w:rPr>
                <w:rFonts w:ascii="Arial" w:eastAsia="Arial" w:hAnsi="Arial" w:cs="Arial"/>
                <w:color w:val="000000"/>
                <w:sz w:val="20"/>
                <w:szCs w:val="20"/>
              </w:rPr>
              <w:t>(i) where the EU GDPR applies, a transfer of Personal Data via the Services from the EEA either directly or via onward transfer, to any country or recipient outside of the EEA not subject to an adequacy determination by the European Commission; and</w:t>
            </w:r>
          </w:p>
          <w:p w14:paraId="742E4C84" w14:textId="77777777" w:rsidR="0095748B" w:rsidRDefault="00000000">
            <w:pPr>
              <w:pBdr>
                <w:top w:val="nil"/>
                <w:left w:val="nil"/>
                <w:bottom w:val="nil"/>
                <w:right w:val="nil"/>
                <w:between w:val="nil"/>
              </w:pBdr>
              <w:tabs>
                <w:tab w:val="left" w:pos="709"/>
              </w:tabs>
              <w:ind w:left="-108"/>
              <w:jc w:val="both"/>
              <w:rPr>
                <w:rFonts w:ascii="Calibri" w:eastAsia="Calibri" w:hAnsi="Calibri" w:cs="Calibri"/>
                <w:color w:val="000000"/>
                <w:sz w:val="22"/>
                <w:szCs w:val="22"/>
              </w:rPr>
            </w:pPr>
            <w:r>
              <w:rPr>
                <w:rFonts w:ascii="Arial" w:eastAsia="Arial" w:hAnsi="Arial" w:cs="Arial"/>
                <w:color w:val="000000"/>
                <w:sz w:val="20"/>
                <w:szCs w:val="20"/>
              </w:rPr>
              <w:t xml:space="preserve">(ii) where the UK GDPR applies, a transfer of Personal Data via the Services from the United Kingdom either directly or via onward transfer, to any country or recipient outside of the UK not based on adequacy regulations pursuant to Section 17A of the United Kingdom Data Protection Act 2018; and </w:t>
            </w:r>
          </w:p>
          <w:p w14:paraId="2F3A516D" w14:textId="77777777" w:rsidR="0095748B" w:rsidRDefault="00000000">
            <w:pPr>
              <w:pBdr>
                <w:top w:val="nil"/>
                <w:left w:val="nil"/>
                <w:bottom w:val="nil"/>
                <w:right w:val="nil"/>
                <w:between w:val="nil"/>
              </w:pBdr>
              <w:tabs>
                <w:tab w:val="left" w:pos="709"/>
              </w:tabs>
              <w:spacing w:after="120"/>
              <w:ind w:left="-108"/>
              <w:jc w:val="both"/>
              <w:rPr>
                <w:rFonts w:ascii="Calibri" w:eastAsia="Calibri" w:hAnsi="Calibri" w:cs="Calibri"/>
                <w:color w:val="000000"/>
                <w:sz w:val="22"/>
                <w:szCs w:val="22"/>
              </w:rPr>
            </w:pPr>
            <w:r>
              <w:rPr>
                <w:rFonts w:ascii="Arial" w:eastAsia="Arial" w:hAnsi="Arial" w:cs="Arial"/>
                <w:color w:val="000000"/>
                <w:sz w:val="20"/>
                <w:szCs w:val="20"/>
              </w:rPr>
              <w:lastRenderedPageBreak/>
              <w:t>(iii) a transfer of Personal Data via the Services from Switzerland either directly or via onward transfer, to any country or recipient outside of the EEA and/or Switzerland not subject to an adequacy determination by the European Commission;</w:t>
            </w:r>
          </w:p>
        </w:tc>
      </w:tr>
      <w:tr w:rsidR="0095748B" w14:paraId="10862950" w14:textId="77777777">
        <w:tc>
          <w:tcPr>
            <w:tcW w:w="2693" w:type="dxa"/>
          </w:tcPr>
          <w:p w14:paraId="57B62F7C" w14:textId="77777777" w:rsidR="0095748B" w:rsidRDefault="00000000">
            <w:pPr>
              <w:pBdr>
                <w:top w:val="nil"/>
                <w:left w:val="nil"/>
                <w:bottom w:val="nil"/>
                <w:right w:val="nil"/>
                <w:between w:val="nil"/>
              </w:pBdr>
              <w:tabs>
                <w:tab w:val="left" w:pos="709"/>
              </w:tabs>
              <w:spacing w:after="120"/>
              <w:ind w:left="-108"/>
              <w:jc w:val="both"/>
              <w:rPr>
                <w:rFonts w:ascii="Calibri" w:eastAsia="Calibri" w:hAnsi="Calibri" w:cs="Calibri"/>
                <w:color w:val="000000"/>
                <w:sz w:val="22"/>
                <w:szCs w:val="22"/>
              </w:rPr>
            </w:pPr>
            <w:r>
              <w:rPr>
                <w:rFonts w:ascii="Arial" w:eastAsia="Arial" w:hAnsi="Arial" w:cs="Arial"/>
                <w:b/>
                <w:color w:val="000000"/>
                <w:sz w:val="20"/>
                <w:szCs w:val="20"/>
              </w:rPr>
              <w:lastRenderedPageBreak/>
              <w:t>“Services”</w:t>
            </w:r>
          </w:p>
        </w:tc>
        <w:tc>
          <w:tcPr>
            <w:tcW w:w="6379" w:type="dxa"/>
          </w:tcPr>
          <w:p w14:paraId="03488796" w14:textId="77777777" w:rsidR="0095748B" w:rsidRDefault="00000000">
            <w:pPr>
              <w:pBdr>
                <w:top w:val="nil"/>
                <w:left w:val="nil"/>
                <w:bottom w:val="nil"/>
                <w:right w:val="nil"/>
                <w:between w:val="nil"/>
              </w:pBdr>
              <w:tabs>
                <w:tab w:val="left" w:pos="709"/>
              </w:tabs>
              <w:spacing w:after="120"/>
              <w:ind w:left="-108"/>
              <w:jc w:val="both"/>
              <w:rPr>
                <w:rFonts w:ascii="Calibri" w:eastAsia="Calibri" w:hAnsi="Calibri" w:cs="Calibri"/>
                <w:color w:val="000000"/>
                <w:sz w:val="22"/>
                <w:szCs w:val="22"/>
              </w:rPr>
            </w:pPr>
            <w:r>
              <w:rPr>
                <w:rFonts w:ascii="Arial" w:eastAsia="Arial" w:hAnsi="Arial" w:cs="Arial"/>
                <w:color w:val="000000"/>
                <w:sz w:val="20"/>
                <w:szCs w:val="20"/>
              </w:rPr>
              <w:t>means all services and software applications and solutions provided to the Controller by the Processor under and as described in the Agreement;</w:t>
            </w:r>
          </w:p>
        </w:tc>
      </w:tr>
      <w:tr w:rsidR="0095748B" w14:paraId="07045E57" w14:textId="77777777">
        <w:tc>
          <w:tcPr>
            <w:tcW w:w="2693" w:type="dxa"/>
          </w:tcPr>
          <w:p w14:paraId="05EB8ECD" w14:textId="77777777" w:rsidR="0095748B" w:rsidRDefault="00000000">
            <w:pPr>
              <w:pBdr>
                <w:top w:val="nil"/>
                <w:left w:val="nil"/>
                <w:bottom w:val="nil"/>
                <w:right w:val="nil"/>
                <w:between w:val="nil"/>
              </w:pBdr>
              <w:tabs>
                <w:tab w:val="left" w:pos="709"/>
              </w:tabs>
              <w:spacing w:after="120"/>
              <w:ind w:left="-108"/>
              <w:rPr>
                <w:rFonts w:ascii="Calibri" w:eastAsia="Calibri" w:hAnsi="Calibri" w:cs="Calibri"/>
                <w:color w:val="000000"/>
                <w:sz w:val="22"/>
                <w:szCs w:val="22"/>
              </w:rPr>
            </w:pPr>
            <w:r>
              <w:rPr>
                <w:rFonts w:ascii="Arial" w:eastAsia="Arial" w:hAnsi="Arial" w:cs="Arial"/>
                <w:b/>
                <w:color w:val="000000"/>
                <w:sz w:val="20"/>
                <w:szCs w:val="20"/>
              </w:rPr>
              <w:t>“SCCs”</w:t>
            </w:r>
          </w:p>
        </w:tc>
        <w:tc>
          <w:tcPr>
            <w:tcW w:w="6379" w:type="dxa"/>
          </w:tcPr>
          <w:p w14:paraId="38D20373" w14:textId="77777777" w:rsidR="0095748B" w:rsidRDefault="00000000">
            <w:pPr>
              <w:pBdr>
                <w:top w:val="nil"/>
                <w:left w:val="nil"/>
                <w:bottom w:val="nil"/>
                <w:right w:val="nil"/>
                <w:between w:val="nil"/>
              </w:pBdr>
              <w:ind w:left="-104"/>
              <w:jc w:val="both"/>
              <w:rPr>
                <w:rFonts w:ascii="Calibri" w:eastAsia="Calibri" w:hAnsi="Calibri" w:cs="Calibri"/>
                <w:color w:val="000000"/>
                <w:sz w:val="22"/>
                <w:szCs w:val="22"/>
              </w:rPr>
            </w:pPr>
            <w:r>
              <w:rPr>
                <w:rFonts w:ascii="Arial" w:eastAsia="Arial" w:hAnsi="Arial" w:cs="Arial"/>
                <w:color w:val="000000"/>
                <w:sz w:val="20"/>
                <w:szCs w:val="20"/>
              </w:rPr>
              <w:t xml:space="preserve">means: </w:t>
            </w:r>
          </w:p>
          <w:p w14:paraId="6BDB165C" w14:textId="77777777" w:rsidR="0095748B" w:rsidRDefault="00000000">
            <w:pPr>
              <w:pBdr>
                <w:top w:val="nil"/>
                <w:left w:val="nil"/>
                <w:bottom w:val="nil"/>
                <w:right w:val="nil"/>
                <w:between w:val="nil"/>
              </w:pBdr>
              <w:ind w:left="-104"/>
              <w:rPr>
                <w:rFonts w:ascii="Calibri" w:eastAsia="Calibri" w:hAnsi="Calibri" w:cs="Calibri"/>
                <w:color w:val="000000"/>
                <w:sz w:val="22"/>
                <w:szCs w:val="22"/>
              </w:rPr>
            </w:pPr>
            <w:r>
              <w:rPr>
                <w:rFonts w:ascii="Arial" w:eastAsia="Arial" w:hAnsi="Arial" w:cs="Arial"/>
                <w:color w:val="000000"/>
                <w:sz w:val="20"/>
                <w:szCs w:val="20"/>
              </w:rPr>
              <w:t>(i) where the EU GDPR applies, the contractual clauses annexed to the European Commission's Implementing Decision 2021/914 of 4 June 2021 on standard contractual clauses for the transfer of personal data to third countries published at</w:t>
            </w:r>
            <w:r>
              <w:rPr>
                <w:rFonts w:ascii="Calibri" w:eastAsia="Calibri" w:hAnsi="Calibri" w:cs="Calibri"/>
                <w:color w:val="000000"/>
                <w:sz w:val="22"/>
                <w:szCs w:val="22"/>
              </w:rPr>
              <w:t xml:space="preserve"> </w:t>
            </w:r>
            <w:hyperlink r:id="rId8">
              <w:r w:rsidR="0095748B">
                <w:rPr>
                  <w:rFonts w:ascii="Arial" w:eastAsia="Arial" w:hAnsi="Arial" w:cs="Arial"/>
                  <w:color w:val="0000FF"/>
                  <w:sz w:val="20"/>
                  <w:szCs w:val="20"/>
                  <w:u w:val="single"/>
                </w:rPr>
                <w:t>https://eur-lex.europa.eu/legal-content/EN/TXT/HTML/?uri=CELEX:32021D0914&amp;from=EN/</w:t>
              </w:r>
            </w:hyperlink>
            <w:r>
              <w:rPr>
                <w:rFonts w:ascii="Arial" w:eastAsia="Arial" w:hAnsi="Arial" w:cs="Arial"/>
                <w:color w:val="000000"/>
                <w:sz w:val="20"/>
                <w:szCs w:val="20"/>
              </w:rPr>
              <w:t>, (“</w:t>
            </w:r>
            <w:r>
              <w:rPr>
                <w:rFonts w:ascii="Arial" w:eastAsia="Arial" w:hAnsi="Arial" w:cs="Arial"/>
                <w:b/>
                <w:color w:val="000000"/>
                <w:sz w:val="20"/>
                <w:szCs w:val="20"/>
              </w:rPr>
              <w:t>EU SCCs</w:t>
            </w:r>
            <w:r>
              <w:rPr>
                <w:rFonts w:ascii="Arial" w:eastAsia="Arial" w:hAnsi="Arial" w:cs="Arial"/>
                <w:color w:val="000000"/>
                <w:sz w:val="20"/>
                <w:szCs w:val="20"/>
              </w:rPr>
              <w:t xml:space="preserve">”); and </w:t>
            </w:r>
          </w:p>
          <w:p w14:paraId="4EF5C17B" w14:textId="77777777" w:rsidR="0095748B" w:rsidRDefault="00000000">
            <w:pPr>
              <w:pBdr>
                <w:top w:val="nil"/>
                <w:left w:val="nil"/>
                <w:bottom w:val="nil"/>
                <w:right w:val="nil"/>
                <w:between w:val="nil"/>
              </w:pBdr>
              <w:ind w:left="-104"/>
              <w:jc w:val="both"/>
              <w:rPr>
                <w:rFonts w:ascii="Calibri" w:eastAsia="Calibri" w:hAnsi="Calibri" w:cs="Calibri"/>
                <w:color w:val="000000"/>
                <w:sz w:val="22"/>
                <w:szCs w:val="22"/>
              </w:rPr>
            </w:pPr>
            <w:r>
              <w:rPr>
                <w:rFonts w:ascii="Arial" w:eastAsia="Arial" w:hAnsi="Arial" w:cs="Arial"/>
                <w:color w:val="000000"/>
                <w:sz w:val="20"/>
                <w:szCs w:val="20"/>
              </w:rPr>
              <w:t xml:space="preserve">(ii) where the UK GDPR applies standard data protection clauses adopted pursuant to Article 46(2)(d) of the UK GDPR </w:t>
            </w:r>
            <w:hyperlink r:id="rId9">
              <w:r w:rsidR="0095748B">
                <w:rPr>
                  <w:rFonts w:ascii="Arial" w:eastAsia="Arial" w:hAnsi="Arial" w:cs="Arial"/>
                  <w:color w:val="0000FF"/>
                  <w:sz w:val="20"/>
                  <w:szCs w:val="20"/>
                  <w:u w:val="single"/>
                </w:rPr>
                <w:t>as</w:t>
              </w:r>
            </w:hyperlink>
            <w:r>
              <w:rPr>
                <w:rFonts w:ascii="Arial" w:eastAsia="Arial" w:hAnsi="Arial" w:cs="Arial"/>
                <w:color w:val="000000"/>
                <w:sz w:val="20"/>
                <w:szCs w:val="20"/>
              </w:rPr>
              <w:t xml:space="preserve"> set out in Exhibit C of this DPA, (“</w:t>
            </w:r>
            <w:r>
              <w:rPr>
                <w:rFonts w:ascii="Arial" w:eastAsia="Arial" w:hAnsi="Arial" w:cs="Arial"/>
                <w:b/>
                <w:color w:val="000000"/>
                <w:sz w:val="20"/>
                <w:szCs w:val="20"/>
              </w:rPr>
              <w:t>UK SCCs</w:t>
            </w:r>
            <w:r>
              <w:rPr>
                <w:rFonts w:ascii="Arial" w:eastAsia="Arial" w:hAnsi="Arial" w:cs="Arial"/>
                <w:color w:val="000000"/>
                <w:sz w:val="20"/>
                <w:szCs w:val="20"/>
              </w:rPr>
              <w:t xml:space="preserve">”); and </w:t>
            </w:r>
          </w:p>
          <w:p w14:paraId="450C617A" w14:textId="77777777" w:rsidR="0095748B" w:rsidRDefault="00000000">
            <w:pPr>
              <w:pBdr>
                <w:top w:val="nil"/>
                <w:left w:val="nil"/>
                <w:bottom w:val="nil"/>
                <w:right w:val="nil"/>
                <w:between w:val="nil"/>
              </w:pBdr>
              <w:spacing w:after="120"/>
              <w:ind w:left="-104"/>
              <w:jc w:val="both"/>
              <w:rPr>
                <w:rFonts w:ascii="Calibri" w:eastAsia="Calibri" w:hAnsi="Calibri" w:cs="Calibri"/>
                <w:color w:val="000000"/>
                <w:sz w:val="22"/>
                <w:szCs w:val="22"/>
              </w:rPr>
            </w:pPr>
            <w:r>
              <w:rPr>
                <w:rFonts w:ascii="Arial" w:eastAsia="Arial" w:hAnsi="Arial" w:cs="Arial"/>
                <w:color w:val="000000"/>
                <w:sz w:val="20"/>
                <w:szCs w:val="20"/>
              </w:rPr>
              <w:t>(iii) where Personal Data is transferred from Switzerland to outside of Switzerland or the EEA, the EU SCCs as amended in accordance with guidance from the Swiss Data Protection Authority; (“</w:t>
            </w:r>
            <w:r>
              <w:rPr>
                <w:rFonts w:ascii="Arial" w:eastAsia="Arial" w:hAnsi="Arial" w:cs="Arial"/>
                <w:b/>
                <w:color w:val="000000"/>
                <w:sz w:val="20"/>
                <w:szCs w:val="20"/>
              </w:rPr>
              <w:t>Swiss SCCs</w:t>
            </w:r>
            <w:r>
              <w:rPr>
                <w:rFonts w:ascii="Arial" w:eastAsia="Arial" w:hAnsi="Arial" w:cs="Arial"/>
                <w:color w:val="000000"/>
                <w:sz w:val="20"/>
                <w:szCs w:val="20"/>
              </w:rPr>
              <w:t>”);</w:t>
            </w:r>
          </w:p>
        </w:tc>
      </w:tr>
      <w:tr w:rsidR="0095748B" w14:paraId="1A1EAD2C" w14:textId="77777777">
        <w:tc>
          <w:tcPr>
            <w:tcW w:w="2693" w:type="dxa"/>
          </w:tcPr>
          <w:p w14:paraId="4DA3DAFD" w14:textId="77777777" w:rsidR="0095748B" w:rsidRDefault="00000000">
            <w:pPr>
              <w:pBdr>
                <w:top w:val="nil"/>
                <w:left w:val="nil"/>
                <w:bottom w:val="nil"/>
                <w:right w:val="nil"/>
                <w:between w:val="nil"/>
              </w:pBdr>
              <w:tabs>
                <w:tab w:val="left" w:pos="709"/>
              </w:tabs>
              <w:spacing w:after="120"/>
              <w:ind w:left="-108"/>
              <w:rPr>
                <w:rFonts w:ascii="Calibri" w:eastAsia="Calibri" w:hAnsi="Calibri" w:cs="Calibri"/>
                <w:color w:val="000000"/>
                <w:sz w:val="22"/>
                <w:szCs w:val="22"/>
              </w:rPr>
            </w:pPr>
            <w:r>
              <w:rPr>
                <w:rFonts w:ascii="Arial" w:eastAsia="Arial" w:hAnsi="Arial" w:cs="Arial"/>
                <w:b/>
                <w:color w:val="000000"/>
                <w:sz w:val="20"/>
                <w:szCs w:val="20"/>
              </w:rPr>
              <w:t>“Sub-processor”</w:t>
            </w:r>
          </w:p>
        </w:tc>
        <w:tc>
          <w:tcPr>
            <w:tcW w:w="6379" w:type="dxa"/>
          </w:tcPr>
          <w:p w14:paraId="2214FC45" w14:textId="77777777" w:rsidR="0095748B" w:rsidRDefault="00000000">
            <w:pPr>
              <w:pBdr>
                <w:top w:val="nil"/>
                <w:left w:val="nil"/>
                <w:bottom w:val="nil"/>
                <w:right w:val="nil"/>
                <w:between w:val="nil"/>
              </w:pBdr>
              <w:tabs>
                <w:tab w:val="left" w:pos="709"/>
              </w:tabs>
              <w:spacing w:after="120"/>
              <w:ind w:left="-108"/>
              <w:jc w:val="both"/>
              <w:rPr>
                <w:rFonts w:ascii="Calibri" w:eastAsia="Calibri" w:hAnsi="Calibri" w:cs="Calibri"/>
                <w:color w:val="000000"/>
                <w:sz w:val="22"/>
                <w:szCs w:val="22"/>
              </w:rPr>
            </w:pPr>
            <w:r>
              <w:rPr>
                <w:rFonts w:ascii="Arial" w:eastAsia="Arial" w:hAnsi="Arial" w:cs="Arial"/>
                <w:color w:val="000000"/>
                <w:sz w:val="20"/>
                <w:szCs w:val="20"/>
              </w:rPr>
              <w:t>means any third party (including Processor Affiliates) engaged directly or indirectly by the Processor to process Personal Data under this DPA in the provision of the Services to the Controller;</w:t>
            </w:r>
          </w:p>
        </w:tc>
      </w:tr>
      <w:tr w:rsidR="0095748B" w14:paraId="3AFA618D" w14:textId="77777777">
        <w:tc>
          <w:tcPr>
            <w:tcW w:w="2693" w:type="dxa"/>
          </w:tcPr>
          <w:p w14:paraId="25E63D1D" w14:textId="77777777" w:rsidR="0095748B" w:rsidRDefault="00000000">
            <w:pPr>
              <w:pBdr>
                <w:top w:val="nil"/>
                <w:left w:val="nil"/>
                <w:bottom w:val="nil"/>
                <w:right w:val="nil"/>
                <w:between w:val="nil"/>
              </w:pBdr>
              <w:tabs>
                <w:tab w:val="left" w:pos="709"/>
              </w:tabs>
              <w:spacing w:after="120"/>
              <w:ind w:left="-108"/>
              <w:rPr>
                <w:rFonts w:ascii="Calibri" w:eastAsia="Calibri" w:hAnsi="Calibri" w:cs="Calibri"/>
                <w:color w:val="000000"/>
                <w:sz w:val="22"/>
                <w:szCs w:val="22"/>
              </w:rPr>
            </w:pPr>
            <w:r>
              <w:rPr>
                <w:rFonts w:ascii="Arial" w:eastAsia="Arial" w:hAnsi="Arial" w:cs="Arial"/>
                <w:b/>
                <w:color w:val="000000"/>
                <w:sz w:val="20"/>
                <w:szCs w:val="20"/>
              </w:rPr>
              <w:t>“Supervisory Authority”</w:t>
            </w:r>
          </w:p>
        </w:tc>
        <w:tc>
          <w:tcPr>
            <w:tcW w:w="6379" w:type="dxa"/>
          </w:tcPr>
          <w:p w14:paraId="0CC349FF" w14:textId="77777777" w:rsidR="0095748B" w:rsidRDefault="00000000">
            <w:pPr>
              <w:pBdr>
                <w:top w:val="nil"/>
                <w:left w:val="nil"/>
                <w:bottom w:val="nil"/>
                <w:right w:val="nil"/>
                <w:between w:val="nil"/>
              </w:pBdr>
              <w:tabs>
                <w:tab w:val="left" w:pos="709"/>
              </w:tabs>
              <w:spacing w:after="120"/>
              <w:ind w:left="-108"/>
              <w:jc w:val="both"/>
              <w:rPr>
                <w:rFonts w:ascii="Calibri" w:eastAsia="Calibri" w:hAnsi="Calibri" w:cs="Calibri"/>
                <w:color w:val="000000"/>
                <w:sz w:val="22"/>
                <w:szCs w:val="22"/>
              </w:rPr>
            </w:pPr>
            <w:r>
              <w:rPr>
                <w:rFonts w:ascii="Arial" w:eastAsia="Arial" w:hAnsi="Arial" w:cs="Arial"/>
                <w:color w:val="000000"/>
                <w:sz w:val="20"/>
                <w:szCs w:val="20"/>
              </w:rPr>
              <w:t>means a governmental or government chartered regulatory body having binding legal authority over a party;</w:t>
            </w:r>
          </w:p>
        </w:tc>
      </w:tr>
      <w:tr w:rsidR="0095748B" w14:paraId="3FD25A77" w14:textId="77777777">
        <w:tc>
          <w:tcPr>
            <w:tcW w:w="2693" w:type="dxa"/>
          </w:tcPr>
          <w:p w14:paraId="327D349E" w14:textId="77777777" w:rsidR="0095748B" w:rsidRDefault="00000000">
            <w:pPr>
              <w:pBdr>
                <w:top w:val="nil"/>
                <w:left w:val="nil"/>
                <w:bottom w:val="nil"/>
                <w:right w:val="nil"/>
                <w:between w:val="nil"/>
              </w:pBdr>
              <w:tabs>
                <w:tab w:val="left" w:pos="709"/>
              </w:tabs>
              <w:spacing w:after="120"/>
              <w:ind w:left="-108"/>
              <w:rPr>
                <w:rFonts w:ascii="Calibri" w:eastAsia="Calibri" w:hAnsi="Calibri" w:cs="Calibri"/>
                <w:color w:val="000000"/>
                <w:sz w:val="22"/>
                <w:szCs w:val="22"/>
              </w:rPr>
            </w:pPr>
            <w:r>
              <w:rPr>
                <w:rFonts w:ascii="Arial" w:eastAsia="Arial" w:hAnsi="Arial" w:cs="Arial"/>
                <w:b/>
                <w:color w:val="000000"/>
                <w:sz w:val="20"/>
                <w:szCs w:val="20"/>
              </w:rPr>
              <w:t>“UK GDPR”</w:t>
            </w:r>
          </w:p>
        </w:tc>
        <w:tc>
          <w:tcPr>
            <w:tcW w:w="6379" w:type="dxa"/>
          </w:tcPr>
          <w:p w14:paraId="08585570" w14:textId="77777777" w:rsidR="0095748B" w:rsidRDefault="00000000">
            <w:pPr>
              <w:pBdr>
                <w:top w:val="nil"/>
                <w:left w:val="nil"/>
                <w:bottom w:val="nil"/>
                <w:right w:val="nil"/>
                <w:between w:val="nil"/>
              </w:pBdr>
              <w:tabs>
                <w:tab w:val="left" w:pos="709"/>
              </w:tabs>
              <w:spacing w:after="120"/>
              <w:ind w:left="-108"/>
              <w:jc w:val="both"/>
              <w:rPr>
                <w:rFonts w:ascii="Calibri" w:eastAsia="Calibri" w:hAnsi="Calibri" w:cs="Calibri"/>
                <w:color w:val="000000"/>
                <w:sz w:val="22"/>
                <w:szCs w:val="22"/>
              </w:rPr>
            </w:pPr>
            <w:r>
              <w:rPr>
                <w:rFonts w:ascii="Arial" w:eastAsia="Arial" w:hAnsi="Arial" w:cs="Arial"/>
                <w:color w:val="000000"/>
                <w:sz w:val="20"/>
                <w:szCs w:val="20"/>
              </w:rPr>
              <w:t>means the EU GDPR as it forms part of the law of England and Wales, Scotland and Northern Ireland by virtue of section 3 of the European Union (Withdrawal) Act 2018.</w:t>
            </w:r>
          </w:p>
        </w:tc>
      </w:tr>
    </w:tbl>
    <w:p w14:paraId="03E56A97" w14:textId="77777777" w:rsidR="0095748B" w:rsidRDefault="0095748B">
      <w:pPr>
        <w:pBdr>
          <w:top w:val="nil"/>
          <w:left w:val="nil"/>
          <w:bottom w:val="nil"/>
          <w:right w:val="nil"/>
          <w:between w:val="nil"/>
        </w:pBdr>
        <w:tabs>
          <w:tab w:val="left" w:pos="709"/>
        </w:tabs>
        <w:ind w:left="709" w:hanging="709"/>
        <w:jc w:val="both"/>
        <w:rPr>
          <w:rFonts w:ascii="Arial" w:eastAsia="Arial" w:hAnsi="Arial" w:cs="Arial"/>
          <w:color w:val="000000"/>
          <w:sz w:val="20"/>
          <w:szCs w:val="20"/>
        </w:rPr>
      </w:pPr>
    </w:p>
    <w:p w14:paraId="1336D0CA" w14:textId="77777777" w:rsidR="0095748B" w:rsidRDefault="00000000">
      <w:pPr>
        <w:numPr>
          <w:ilvl w:val="0"/>
          <w:numId w:val="2"/>
        </w:numPr>
        <w:pBdr>
          <w:top w:val="nil"/>
          <w:left w:val="nil"/>
          <w:bottom w:val="nil"/>
          <w:right w:val="nil"/>
          <w:between w:val="nil"/>
        </w:pBdr>
        <w:spacing w:line="276" w:lineRule="auto"/>
        <w:ind w:left="709" w:hanging="709"/>
        <w:jc w:val="both"/>
      </w:pPr>
      <w:r>
        <w:rPr>
          <w:rFonts w:ascii="Arial" w:eastAsia="Arial" w:hAnsi="Arial" w:cs="Arial"/>
          <w:b/>
          <w:color w:val="000000"/>
          <w:sz w:val="20"/>
          <w:szCs w:val="20"/>
        </w:rPr>
        <w:t>Purpose</w:t>
      </w:r>
    </w:p>
    <w:p w14:paraId="38F4961F" w14:textId="77777777" w:rsidR="0095748B" w:rsidRDefault="00000000">
      <w:pPr>
        <w:numPr>
          <w:ilvl w:val="1"/>
          <w:numId w:val="2"/>
        </w:numPr>
        <w:pBdr>
          <w:top w:val="nil"/>
          <w:left w:val="nil"/>
          <w:bottom w:val="nil"/>
          <w:right w:val="nil"/>
          <w:between w:val="nil"/>
        </w:pBdr>
        <w:tabs>
          <w:tab w:val="left" w:pos="709"/>
        </w:tabs>
        <w:ind w:left="709" w:hanging="709"/>
        <w:jc w:val="both"/>
      </w:pPr>
      <w:r>
        <w:rPr>
          <w:rFonts w:ascii="Arial" w:eastAsia="Arial" w:hAnsi="Arial" w:cs="Arial"/>
          <w:color w:val="000000"/>
          <w:sz w:val="20"/>
          <w:szCs w:val="20"/>
        </w:rPr>
        <w:t>The Processor has agreed to provide the Services to the Controller in accordance with the terms of the Agreement. In providing the Services, the Processor shall process Customer Data on behalf of the Controller. Customer Data may include Personal Data. The Processor will process and protect such Personal Data in accordance with the terms of this DPA.</w:t>
      </w:r>
    </w:p>
    <w:p w14:paraId="1A2FFAB5" w14:textId="77777777" w:rsidR="0095748B" w:rsidRDefault="00000000">
      <w:pPr>
        <w:numPr>
          <w:ilvl w:val="0"/>
          <w:numId w:val="2"/>
        </w:numPr>
        <w:pBdr>
          <w:top w:val="nil"/>
          <w:left w:val="nil"/>
          <w:bottom w:val="nil"/>
          <w:right w:val="nil"/>
          <w:between w:val="nil"/>
        </w:pBdr>
        <w:spacing w:line="276" w:lineRule="auto"/>
        <w:ind w:left="709" w:hanging="709"/>
        <w:jc w:val="both"/>
      </w:pPr>
      <w:r>
        <w:rPr>
          <w:rFonts w:ascii="Arial" w:eastAsia="Arial" w:hAnsi="Arial" w:cs="Arial"/>
          <w:b/>
          <w:color w:val="000000"/>
          <w:sz w:val="20"/>
          <w:szCs w:val="20"/>
        </w:rPr>
        <w:t>Scope</w:t>
      </w:r>
    </w:p>
    <w:p w14:paraId="3DB1A442" w14:textId="77777777" w:rsidR="0095748B" w:rsidRDefault="00000000">
      <w:pPr>
        <w:numPr>
          <w:ilvl w:val="1"/>
          <w:numId w:val="2"/>
        </w:numPr>
        <w:pBdr>
          <w:top w:val="nil"/>
          <w:left w:val="nil"/>
          <w:bottom w:val="nil"/>
          <w:right w:val="nil"/>
          <w:between w:val="nil"/>
        </w:pBdr>
        <w:tabs>
          <w:tab w:val="left" w:pos="709"/>
        </w:tabs>
        <w:ind w:left="709" w:hanging="709"/>
        <w:jc w:val="both"/>
      </w:pPr>
      <w:r>
        <w:rPr>
          <w:rFonts w:ascii="Arial" w:eastAsia="Arial" w:hAnsi="Arial" w:cs="Arial"/>
          <w:color w:val="000000"/>
          <w:sz w:val="20"/>
          <w:szCs w:val="20"/>
        </w:rPr>
        <w:t>In providing the Services to the Controller pursuant to the terms of the Agreement, the Processor shall process Personal Data only to the extent necessary to provide the Services in accordance with the terms of the Agreement, this DPA and the Controller’s instructions documented in the Agreement and this DPA, as updated from time to time.</w:t>
      </w:r>
    </w:p>
    <w:p w14:paraId="62F73BC9" w14:textId="77777777" w:rsidR="0095748B" w:rsidRDefault="00000000">
      <w:pPr>
        <w:numPr>
          <w:ilvl w:val="1"/>
          <w:numId w:val="2"/>
        </w:numPr>
        <w:pBdr>
          <w:top w:val="nil"/>
          <w:left w:val="nil"/>
          <w:bottom w:val="nil"/>
          <w:right w:val="nil"/>
          <w:between w:val="nil"/>
        </w:pBdr>
        <w:tabs>
          <w:tab w:val="left" w:pos="709"/>
        </w:tabs>
        <w:ind w:left="709" w:hanging="709"/>
        <w:jc w:val="both"/>
      </w:pPr>
      <w:r>
        <w:rPr>
          <w:rFonts w:ascii="Arial" w:eastAsia="Arial" w:hAnsi="Arial" w:cs="Arial"/>
          <w:color w:val="000000"/>
          <w:sz w:val="20"/>
          <w:szCs w:val="20"/>
        </w:rPr>
        <w:t xml:space="preserve">The Controller and Processor shall take steps to ensure that any natural person acting under the authority of the Controller or the Processor who has access to Personal Data does not process them except on the instructions from the Controller unless required to do so by any Data Protection Law. </w:t>
      </w:r>
    </w:p>
    <w:p w14:paraId="41BD769F" w14:textId="77777777" w:rsidR="0095748B" w:rsidRDefault="00000000">
      <w:pPr>
        <w:numPr>
          <w:ilvl w:val="0"/>
          <w:numId w:val="2"/>
        </w:numPr>
        <w:pBdr>
          <w:top w:val="nil"/>
          <w:left w:val="nil"/>
          <w:bottom w:val="nil"/>
          <w:right w:val="nil"/>
          <w:between w:val="nil"/>
        </w:pBdr>
        <w:spacing w:line="276" w:lineRule="auto"/>
        <w:ind w:left="709" w:hanging="709"/>
        <w:jc w:val="both"/>
      </w:pPr>
      <w:r>
        <w:rPr>
          <w:rFonts w:ascii="Arial" w:eastAsia="Arial" w:hAnsi="Arial" w:cs="Arial"/>
          <w:b/>
          <w:color w:val="000000"/>
          <w:sz w:val="20"/>
          <w:szCs w:val="20"/>
        </w:rPr>
        <w:t>Processor Obligations</w:t>
      </w:r>
    </w:p>
    <w:p w14:paraId="1C7C7B1E" w14:textId="77777777" w:rsidR="0095748B" w:rsidRDefault="00000000">
      <w:pPr>
        <w:numPr>
          <w:ilvl w:val="1"/>
          <w:numId w:val="2"/>
        </w:numPr>
        <w:pBdr>
          <w:top w:val="nil"/>
          <w:left w:val="nil"/>
          <w:bottom w:val="nil"/>
          <w:right w:val="nil"/>
          <w:between w:val="nil"/>
        </w:pBdr>
        <w:tabs>
          <w:tab w:val="left" w:pos="709"/>
        </w:tabs>
        <w:ind w:left="709" w:hanging="709"/>
        <w:jc w:val="both"/>
      </w:pPr>
      <w:r>
        <w:rPr>
          <w:rFonts w:ascii="Arial" w:eastAsia="Arial" w:hAnsi="Arial" w:cs="Arial"/>
          <w:color w:val="000000"/>
          <w:sz w:val="20"/>
          <w:szCs w:val="20"/>
        </w:rPr>
        <w:t>The Processor may collect, process or use Personal Data only within the scope of this DPA.</w:t>
      </w:r>
    </w:p>
    <w:p w14:paraId="6E8C0111" w14:textId="77777777" w:rsidR="0095748B" w:rsidRDefault="00000000">
      <w:pPr>
        <w:numPr>
          <w:ilvl w:val="1"/>
          <w:numId w:val="2"/>
        </w:numPr>
        <w:pBdr>
          <w:top w:val="nil"/>
          <w:left w:val="nil"/>
          <w:bottom w:val="nil"/>
          <w:right w:val="nil"/>
          <w:between w:val="nil"/>
        </w:pBdr>
        <w:tabs>
          <w:tab w:val="left" w:pos="709"/>
        </w:tabs>
        <w:ind w:left="709" w:hanging="709"/>
        <w:jc w:val="both"/>
      </w:pPr>
      <w:r>
        <w:rPr>
          <w:rFonts w:ascii="Arial" w:eastAsia="Arial" w:hAnsi="Arial" w:cs="Arial"/>
          <w:color w:val="000000"/>
          <w:sz w:val="20"/>
          <w:szCs w:val="20"/>
        </w:rPr>
        <w:t>The Processor confirms that it shall process Personal Data on behalf of the Controller in accordance with the documented instructions of the Controller.</w:t>
      </w:r>
    </w:p>
    <w:p w14:paraId="0C11DAD8" w14:textId="77777777" w:rsidR="0095748B" w:rsidRDefault="00000000">
      <w:pPr>
        <w:numPr>
          <w:ilvl w:val="1"/>
          <w:numId w:val="2"/>
        </w:numPr>
        <w:pBdr>
          <w:top w:val="nil"/>
          <w:left w:val="nil"/>
          <w:bottom w:val="nil"/>
          <w:right w:val="nil"/>
          <w:between w:val="nil"/>
        </w:pBdr>
        <w:tabs>
          <w:tab w:val="left" w:pos="709"/>
        </w:tabs>
        <w:ind w:left="709" w:hanging="709"/>
        <w:jc w:val="both"/>
      </w:pPr>
      <w:r>
        <w:rPr>
          <w:rFonts w:ascii="Arial" w:eastAsia="Arial" w:hAnsi="Arial" w:cs="Arial"/>
          <w:color w:val="000000"/>
          <w:sz w:val="20"/>
          <w:szCs w:val="20"/>
        </w:rPr>
        <w:t>The Processor shall promptly inform the Controller, if in the Processor’s opinion, any of the instructions regarding the processing of Personal Data provided by the Controller, breach any Data Protection Law.</w:t>
      </w:r>
    </w:p>
    <w:p w14:paraId="24055914" w14:textId="77777777" w:rsidR="0095748B" w:rsidRDefault="00000000">
      <w:pPr>
        <w:numPr>
          <w:ilvl w:val="1"/>
          <w:numId w:val="2"/>
        </w:numPr>
        <w:pBdr>
          <w:top w:val="nil"/>
          <w:left w:val="nil"/>
          <w:bottom w:val="nil"/>
          <w:right w:val="nil"/>
          <w:between w:val="nil"/>
        </w:pBdr>
        <w:tabs>
          <w:tab w:val="left" w:pos="709"/>
        </w:tabs>
        <w:ind w:left="709" w:hanging="709"/>
        <w:jc w:val="both"/>
      </w:pPr>
      <w:r>
        <w:rPr>
          <w:rFonts w:ascii="Arial" w:eastAsia="Arial" w:hAnsi="Arial" w:cs="Arial"/>
          <w:color w:val="000000"/>
          <w:sz w:val="20"/>
          <w:szCs w:val="20"/>
        </w:rPr>
        <w:t>The Processor shall ensure that all employees, agents, officers and contractors involved in the handling of Personal Data: (i) are aware of the confidential nature of the Personal Data and are contractually bound to keep the Personal Data confidential; (ii) have received appropriate training on their responsibilities as a data processor; and (iii) are bound by the terms of this DPA.</w:t>
      </w:r>
    </w:p>
    <w:p w14:paraId="7C37081D" w14:textId="77777777" w:rsidR="0095748B" w:rsidRDefault="00000000">
      <w:pPr>
        <w:numPr>
          <w:ilvl w:val="1"/>
          <w:numId w:val="2"/>
        </w:numPr>
        <w:pBdr>
          <w:top w:val="nil"/>
          <w:left w:val="nil"/>
          <w:bottom w:val="nil"/>
          <w:right w:val="nil"/>
          <w:between w:val="nil"/>
        </w:pBdr>
        <w:tabs>
          <w:tab w:val="left" w:pos="709"/>
        </w:tabs>
        <w:ind w:left="709" w:hanging="709"/>
        <w:jc w:val="both"/>
      </w:pPr>
      <w:r>
        <w:rPr>
          <w:rFonts w:ascii="Arial" w:eastAsia="Arial" w:hAnsi="Arial" w:cs="Arial"/>
          <w:color w:val="000000"/>
          <w:sz w:val="20"/>
          <w:szCs w:val="20"/>
        </w:rPr>
        <w:t xml:space="preserve">The Processor shall implement appropriate technical and organisational procedures to protect Personal Data, taking into account the state of the art, the costs of implementation and the </w:t>
      </w:r>
      <w:r>
        <w:rPr>
          <w:rFonts w:ascii="Arial" w:eastAsia="Arial" w:hAnsi="Arial" w:cs="Arial"/>
          <w:color w:val="000000"/>
          <w:sz w:val="20"/>
          <w:szCs w:val="20"/>
        </w:rPr>
        <w:lastRenderedPageBreak/>
        <w:t xml:space="preserve">nature, scope, context and purposes of processing as well as the risk of varying likelihood and severity for the rights and freedoms of natural persons. </w:t>
      </w:r>
    </w:p>
    <w:p w14:paraId="663F350C" w14:textId="77777777" w:rsidR="0095748B" w:rsidRDefault="00000000">
      <w:pPr>
        <w:numPr>
          <w:ilvl w:val="1"/>
          <w:numId w:val="2"/>
        </w:numPr>
        <w:pBdr>
          <w:top w:val="nil"/>
          <w:left w:val="nil"/>
          <w:bottom w:val="nil"/>
          <w:right w:val="nil"/>
          <w:between w:val="nil"/>
        </w:pBdr>
        <w:tabs>
          <w:tab w:val="left" w:pos="709"/>
        </w:tabs>
        <w:ind w:left="709" w:hanging="709"/>
        <w:jc w:val="both"/>
      </w:pPr>
      <w:r>
        <w:rPr>
          <w:rFonts w:ascii="Arial" w:eastAsia="Arial" w:hAnsi="Arial" w:cs="Arial"/>
          <w:color w:val="000000"/>
          <w:sz w:val="20"/>
          <w:szCs w:val="20"/>
        </w:rPr>
        <w:t>The Processor shall implement appropriate technical and organisational measures to ensure a level of security appropriate to the risk, including inter alia as appropriate: (i) the pseudonymisation and encryption of Personal Data; (ii) the ability to ensure the on-going confidentiality, integrity, availability and resilience of processing systems and services; (iii) the ability to restore the availability and access to Personal Data in a timely manner in the event of a physical or technical incident; (iv) a process for regularly testing, assessing and evaluating the effectiveness of technical and organisational measures for ensuring the security of the processing. In accessing the appropriate level of security, account shall be taken in particular of the risks that are presented by processing, in particular from accidental or unlawful destruction, loss, alteration, unauthorised disclosure of, or access to Personal Data transmitted, stored or otherwise processed.</w:t>
      </w:r>
    </w:p>
    <w:p w14:paraId="21E2F895" w14:textId="77777777" w:rsidR="0095748B" w:rsidRDefault="00000000">
      <w:pPr>
        <w:numPr>
          <w:ilvl w:val="1"/>
          <w:numId w:val="2"/>
        </w:numPr>
        <w:pBdr>
          <w:top w:val="nil"/>
          <w:left w:val="nil"/>
          <w:bottom w:val="nil"/>
          <w:right w:val="nil"/>
          <w:between w:val="nil"/>
        </w:pBdr>
        <w:tabs>
          <w:tab w:val="left" w:pos="709"/>
        </w:tabs>
        <w:ind w:left="709" w:hanging="709"/>
        <w:jc w:val="both"/>
      </w:pPr>
      <w:r>
        <w:rPr>
          <w:rFonts w:ascii="Arial" w:eastAsia="Arial" w:hAnsi="Arial" w:cs="Arial"/>
          <w:color w:val="000000"/>
          <w:sz w:val="20"/>
          <w:szCs w:val="20"/>
        </w:rPr>
        <w:t>The technical and organisational measures detailed in Exhibit B shall at all times be adhered to as a minimum security standard. The Controller accepts and agrees that the technical and organisational measures are subject to development and review and that the Processor may use alternative suitable measures to those detailed in the attachments to this DPA, provided such measures are at least equivalent to the technical and organisational measures set out in Exhibit B and appropriate pursuant to the Processor’s obligations in clauses 4.5 and 4.6 above.</w:t>
      </w:r>
    </w:p>
    <w:p w14:paraId="1B674333" w14:textId="77777777" w:rsidR="0095748B" w:rsidRDefault="00000000">
      <w:pPr>
        <w:numPr>
          <w:ilvl w:val="1"/>
          <w:numId w:val="2"/>
        </w:numPr>
        <w:pBdr>
          <w:top w:val="nil"/>
          <w:left w:val="nil"/>
          <w:bottom w:val="nil"/>
          <w:right w:val="nil"/>
          <w:between w:val="nil"/>
        </w:pBdr>
        <w:tabs>
          <w:tab w:val="left" w:pos="709"/>
        </w:tabs>
        <w:ind w:left="709" w:hanging="709"/>
        <w:jc w:val="both"/>
      </w:pPr>
      <w:r>
        <w:rPr>
          <w:rFonts w:ascii="Arial" w:eastAsia="Arial" w:hAnsi="Arial" w:cs="Arial"/>
          <w:color w:val="000000"/>
          <w:sz w:val="20"/>
          <w:szCs w:val="20"/>
        </w:rPr>
        <w:t xml:space="preserve">The Controller acknowledges and agrees that, in the course of providing the Services to the Controller, it may be necessary for the Processor to access the Personal Data to respond to any technical problems or Controller queries and to ensure the proper working of the Services. All such access by the Processor will be limited to those purposes. </w:t>
      </w:r>
    </w:p>
    <w:p w14:paraId="6389B18C" w14:textId="77777777" w:rsidR="0095748B" w:rsidRDefault="00000000">
      <w:pPr>
        <w:numPr>
          <w:ilvl w:val="1"/>
          <w:numId w:val="2"/>
        </w:numPr>
        <w:pBdr>
          <w:top w:val="nil"/>
          <w:left w:val="nil"/>
          <w:bottom w:val="nil"/>
          <w:right w:val="nil"/>
          <w:between w:val="nil"/>
        </w:pBdr>
        <w:tabs>
          <w:tab w:val="left" w:pos="709"/>
        </w:tabs>
        <w:spacing w:after="120"/>
        <w:ind w:left="709" w:hanging="709"/>
        <w:jc w:val="both"/>
      </w:pPr>
      <w:r>
        <w:rPr>
          <w:rFonts w:ascii="Arial" w:eastAsia="Arial" w:hAnsi="Arial" w:cs="Arial"/>
          <w:color w:val="000000"/>
          <w:sz w:val="20"/>
          <w:szCs w:val="20"/>
        </w:rPr>
        <w:t>Taking into account the nature of the processing and the information available to the Processor, the Processor shall assist the Controller by having in place appropriate technical and organisational measures, insofar as this is possible, for the fulfilment of the Controller's obligation to respond to requests for exercising the Data Subject's rights and the Controller’s compliance with the Controller’s data protection obligations in respect of the processing of Personal Data.</w:t>
      </w:r>
    </w:p>
    <w:p w14:paraId="346D46A4" w14:textId="77777777" w:rsidR="0095748B" w:rsidRDefault="00000000">
      <w:pPr>
        <w:numPr>
          <w:ilvl w:val="1"/>
          <w:numId w:val="2"/>
        </w:numPr>
        <w:tabs>
          <w:tab w:val="left" w:pos="709"/>
        </w:tabs>
        <w:spacing w:after="120"/>
        <w:ind w:left="709" w:hanging="709"/>
      </w:pPr>
      <w:r>
        <w:rPr>
          <w:rFonts w:ascii="Arial" w:eastAsia="Arial" w:hAnsi="Arial" w:cs="Arial"/>
          <w:sz w:val="20"/>
          <w:szCs w:val="20"/>
        </w:rPr>
        <w:t>The Processor may not: (i) sell Personal Data; (ii) retain, use, or disclose Personal Data for commercial purposes other than providing the Services under the terms of the Agreement; or (iii) retain, use, or disclose Personal Data outside of the Agreement.</w:t>
      </w:r>
    </w:p>
    <w:p w14:paraId="5F3BC1F1" w14:textId="77777777" w:rsidR="0095748B" w:rsidRDefault="00000000">
      <w:pPr>
        <w:numPr>
          <w:ilvl w:val="0"/>
          <w:numId w:val="2"/>
        </w:numPr>
        <w:pBdr>
          <w:top w:val="nil"/>
          <w:left w:val="nil"/>
          <w:bottom w:val="nil"/>
          <w:right w:val="nil"/>
          <w:between w:val="nil"/>
        </w:pBdr>
        <w:spacing w:line="276" w:lineRule="auto"/>
        <w:ind w:left="709" w:hanging="709"/>
        <w:jc w:val="both"/>
      </w:pPr>
      <w:r>
        <w:rPr>
          <w:rFonts w:ascii="Arial" w:eastAsia="Arial" w:hAnsi="Arial" w:cs="Arial"/>
          <w:b/>
          <w:color w:val="000000"/>
          <w:sz w:val="20"/>
          <w:szCs w:val="20"/>
        </w:rPr>
        <w:t>Controller</w:t>
      </w:r>
      <w:r>
        <w:rPr>
          <w:rFonts w:ascii="Arial" w:eastAsia="Arial" w:hAnsi="Arial" w:cs="Arial"/>
          <w:color w:val="000000"/>
          <w:sz w:val="20"/>
          <w:szCs w:val="20"/>
        </w:rPr>
        <w:t xml:space="preserve"> </w:t>
      </w:r>
      <w:r>
        <w:rPr>
          <w:rFonts w:ascii="Arial" w:eastAsia="Arial" w:hAnsi="Arial" w:cs="Arial"/>
          <w:b/>
          <w:color w:val="000000"/>
          <w:sz w:val="20"/>
          <w:szCs w:val="20"/>
        </w:rPr>
        <w:t>Obligations</w:t>
      </w:r>
    </w:p>
    <w:p w14:paraId="128C1584" w14:textId="77777777" w:rsidR="0095748B" w:rsidRDefault="00000000">
      <w:pPr>
        <w:numPr>
          <w:ilvl w:val="1"/>
          <w:numId w:val="2"/>
        </w:numPr>
        <w:pBdr>
          <w:top w:val="nil"/>
          <w:left w:val="nil"/>
          <w:bottom w:val="nil"/>
          <w:right w:val="nil"/>
          <w:between w:val="nil"/>
        </w:pBdr>
        <w:tabs>
          <w:tab w:val="left" w:pos="709"/>
        </w:tabs>
        <w:ind w:left="709" w:hanging="709"/>
        <w:jc w:val="both"/>
      </w:pPr>
      <w:r>
        <w:rPr>
          <w:rFonts w:ascii="Arial" w:eastAsia="Arial" w:hAnsi="Arial" w:cs="Arial"/>
          <w:color w:val="000000"/>
          <w:sz w:val="20"/>
          <w:szCs w:val="20"/>
        </w:rPr>
        <w:t>The Controller represents and warrants that: (i) it shall comply with this DPA and its obligations under Data Protection Law; (ii) it has obtained any, and all, necessary permissions and authorisations necessary to permit the Processor, its Affiliates and Sub-processors, to execute their rights or perform their obligations under this DPA; and (iii) all Affiliates of the Controller who use the Services shall comply with the obligations of the Controller set out in this DPA.</w:t>
      </w:r>
    </w:p>
    <w:p w14:paraId="23223010" w14:textId="77777777" w:rsidR="0095748B" w:rsidRDefault="00000000">
      <w:pPr>
        <w:numPr>
          <w:ilvl w:val="1"/>
          <w:numId w:val="2"/>
        </w:numPr>
        <w:pBdr>
          <w:top w:val="nil"/>
          <w:left w:val="nil"/>
          <w:bottom w:val="nil"/>
          <w:right w:val="nil"/>
          <w:between w:val="nil"/>
        </w:pBdr>
        <w:tabs>
          <w:tab w:val="left" w:pos="709"/>
        </w:tabs>
        <w:ind w:left="709" w:hanging="709"/>
        <w:jc w:val="both"/>
      </w:pPr>
      <w:r>
        <w:rPr>
          <w:rFonts w:ascii="Arial" w:eastAsia="Arial" w:hAnsi="Arial" w:cs="Arial"/>
          <w:color w:val="000000"/>
          <w:sz w:val="20"/>
          <w:szCs w:val="20"/>
        </w:rPr>
        <w:t>The Controller shall implement appropriate technical and organisational measures to protect Personal Data, taking into account the state of the art, the costs of implementation and the nature, scope, context and purposes of processing as well as the risk of varying likelihood and severity for the rights and freedoms of natural persons. The Controller shall implement appropriate technical and organisational measures to ensure a level of security appropriate to the risk, including inter alia as appropriate: (i) the pseudonymisation and encryption of Personal Data; (ii) the ability to ensure the on-going confidentiality, integrity, availability and resilience of processing systems and services; (iii) the ability to restore the availability and access to Personal Data in a timely manner in the event of a physical or technical incident; (iv) a process for regularly testing, assessing and evaluating the effectiveness of technical and organisational measures for ensuring the security of the processing. In accessing the appropriate level of security account shall be taken in particular of the risks that are presented by processing, in particular from accidental or unlawful destruction, loss, alteration, unauthorised disclosure of, or access to Personal Data transmitted, stored or otherwise processed.</w:t>
      </w:r>
    </w:p>
    <w:p w14:paraId="719A97BF" w14:textId="77777777" w:rsidR="0095748B" w:rsidRDefault="00000000">
      <w:pPr>
        <w:numPr>
          <w:ilvl w:val="1"/>
          <w:numId w:val="2"/>
        </w:numPr>
        <w:pBdr>
          <w:top w:val="nil"/>
          <w:left w:val="nil"/>
          <w:bottom w:val="nil"/>
          <w:right w:val="nil"/>
          <w:between w:val="nil"/>
        </w:pBdr>
        <w:tabs>
          <w:tab w:val="left" w:pos="709"/>
        </w:tabs>
        <w:ind w:left="709" w:hanging="709"/>
        <w:jc w:val="both"/>
      </w:pPr>
      <w:r>
        <w:rPr>
          <w:rFonts w:ascii="Arial" w:eastAsia="Arial" w:hAnsi="Arial" w:cs="Arial"/>
          <w:color w:val="000000"/>
          <w:sz w:val="20"/>
          <w:szCs w:val="20"/>
        </w:rPr>
        <w:t xml:space="preserve">The Controller acknowledges and agrees that some instructions from the Controller including the Processor assisting with audits, inspections, DPIAs or providing other assistance under this DPA, may result in additional fees. In such case the Processor shall notify the Controller of its fees for providing such assistance in advance and shall be entitled to charge the Controller for its reasonable costs and expenses in providing such assistance, unless agreed otherwise. </w:t>
      </w:r>
    </w:p>
    <w:p w14:paraId="52BC7498" w14:textId="77777777" w:rsidR="0095748B" w:rsidRDefault="00000000">
      <w:pPr>
        <w:numPr>
          <w:ilvl w:val="0"/>
          <w:numId w:val="2"/>
        </w:numPr>
        <w:pBdr>
          <w:top w:val="nil"/>
          <w:left w:val="nil"/>
          <w:bottom w:val="nil"/>
          <w:right w:val="nil"/>
          <w:between w:val="nil"/>
        </w:pBdr>
        <w:spacing w:line="276" w:lineRule="auto"/>
        <w:ind w:left="709" w:hanging="709"/>
        <w:jc w:val="both"/>
      </w:pPr>
      <w:r>
        <w:rPr>
          <w:rFonts w:ascii="Arial" w:eastAsia="Arial" w:hAnsi="Arial" w:cs="Arial"/>
          <w:b/>
          <w:color w:val="000000"/>
          <w:sz w:val="20"/>
          <w:szCs w:val="20"/>
        </w:rPr>
        <w:t>Sub-processors</w:t>
      </w:r>
    </w:p>
    <w:p w14:paraId="22D1CEF3" w14:textId="77777777" w:rsidR="0095748B" w:rsidRDefault="00000000">
      <w:pPr>
        <w:numPr>
          <w:ilvl w:val="1"/>
          <w:numId w:val="2"/>
        </w:numPr>
        <w:pBdr>
          <w:top w:val="nil"/>
          <w:left w:val="nil"/>
          <w:bottom w:val="nil"/>
          <w:right w:val="nil"/>
          <w:between w:val="nil"/>
        </w:pBdr>
        <w:tabs>
          <w:tab w:val="left" w:pos="709"/>
        </w:tabs>
        <w:ind w:left="709" w:hanging="709"/>
        <w:jc w:val="both"/>
      </w:pPr>
      <w:r>
        <w:rPr>
          <w:rFonts w:ascii="Arial" w:eastAsia="Arial" w:hAnsi="Arial" w:cs="Arial"/>
          <w:color w:val="000000"/>
          <w:sz w:val="20"/>
          <w:szCs w:val="20"/>
        </w:rPr>
        <w:t xml:space="preserve">The Controller acknowledges and agrees that: (i) Affiliates of the Processor may be used as Sub-processors; and (ii) the Processor and its Affiliates respectively may engage Sub-processors in connection with the provision of the Services. </w:t>
      </w:r>
    </w:p>
    <w:p w14:paraId="65FD110C" w14:textId="77777777" w:rsidR="0095748B" w:rsidRDefault="00000000">
      <w:pPr>
        <w:numPr>
          <w:ilvl w:val="1"/>
          <w:numId w:val="2"/>
        </w:numPr>
        <w:pBdr>
          <w:top w:val="nil"/>
          <w:left w:val="nil"/>
          <w:bottom w:val="nil"/>
          <w:right w:val="nil"/>
          <w:between w:val="nil"/>
        </w:pBdr>
        <w:tabs>
          <w:tab w:val="left" w:pos="709"/>
        </w:tabs>
        <w:ind w:left="709" w:hanging="709"/>
        <w:jc w:val="both"/>
      </w:pPr>
      <w:r>
        <w:rPr>
          <w:rFonts w:ascii="Arial" w:eastAsia="Arial" w:hAnsi="Arial" w:cs="Arial"/>
          <w:color w:val="000000"/>
          <w:sz w:val="20"/>
          <w:szCs w:val="20"/>
        </w:rPr>
        <w:lastRenderedPageBreak/>
        <w:t>All Sub-processors who process Personal Data in the provision of the Services to the Controller shall comply with the obligations of the Processor set out in this DPA.</w:t>
      </w:r>
    </w:p>
    <w:p w14:paraId="3883F238" w14:textId="77777777" w:rsidR="0095748B" w:rsidRDefault="00000000">
      <w:pPr>
        <w:numPr>
          <w:ilvl w:val="1"/>
          <w:numId w:val="2"/>
        </w:numPr>
        <w:pBdr>
          <w:top w:val="nil"/>
          <w:left w:val="nil"/>
          <w:bottom w:val="nil"/>
          <w:right w:val="nil"/>
          <w:between w:val="nil"/>
        </w:pBdr>
        <w:tabs>
          <w:tab w:val="left" w:pos="709"/>
        </w:tabs>
        <w:ind w:left="709" w:hanging="709"/>
        <w:jc w:val="both"/>
      </w:pPr>
      <w:r>
        <w:rPr>
          <w:rFonts w:ascii="Arial" w:eastAsia="Arial" w:hAnsi="Arial" w:cs="Arial"/>
          <w:color w:val="000000"/>
          <w:sz w:val="20"/>
          <w:szCs w:val="20"/>
        </w:rPr>
        <w:t xml:space="preserve">The Controller authorises the Processor to use the Sub-processors included in the list of Sub-processors published at https://silktide.com/company/legal/sub-processors/ to process the Personal Data. During the term of this DPA, the Processor shall provide the Controller with 30 days prior notification, via email, of any changes to the list of Sub-processors before authorising any new or replacement Sub-processor to process Personal Data in connection with the provision of the Services. </w:t>
      </w:r>
    </w:p>
    <w:p w14:paraId="38F027A9" w14:textId="77777777" w:rsidR="0095748B" w:rsidRDefault="00000000">
      <w:pPr>
        <w:numPr>
          <w:ilvl w:val="1"/>
          <w:numId w:val="2"/>
        </w:numPr>
        <w:pBdr>
          <w:top w:val="nil"/>
          <w:left w:val="nil"/>
          <w:bottom w:val="nil"/>
          <w:right w:val="nil"/>
          <w:between w:val="nil"/>
        </w:pBdr>
        <w:tabs>
          <w:tab w:val="left" w:pos="709"/>
        </w:tabs>
        <w:ind w:left="709" w:hanging="709"/>
        <w:jc w:val="both"/>
      </w:pPr>
      <w:r>
        <w:rPr>
          <w:rFonts w:ascii="Arial" w:eastAsia="Arial" w:hAnsi="Arial" w:cs="Arial"/>
          <w:color w:val="000000"/>
          <w:sz w:val="20"/>
          <w:szCs w:val="20"/>
        </w:rPr>
        <w:t>The Controller may object to the use of a new or replacement Sub-processor, by notifying the Processor promptly in writing within ten (10) Business Days after receipt of the Processor’s notice. If the Controller objects to a new or replacement Sub-processor, the Controller may terminate the Agreement with respect to those Services which cannot be provided by the Processor without the use of the new or replacement Sub-processor. The Processor will refund the Controller any prepaid fees covering the remainder of the term of the Agreement following the effective date of termination with respect to such terminated Services.  </w:t>
      </w:r>
    </w:p>
    <w:p w14:paraId="702E45A6" w14:textId="77777777" w:rsidR="0095748B" w:rsidRDefault="00000000">
      <w:pPr>
        <w:numPr>
          <w:ilvl w:val="1"/>
          <w:numId w:val="2"/>
        </w:numPr>
        <w:pBdr>
          <w:top w:val="nil"/>
          <w:left w:val="nil"/>
          <w:bottom w:val="nil"/>
          <w:right w:val="nil"/>
          <w:between w:val="nil"/>
        </w:pBdr>
        <w:tabs>
          <w:tab w:val="left" w:pos="709"/>
        </w:tabs>
        <w:ind w:left="709" w:hanging="709"/>
        <w:jc w:val="both"/>
      </w:pPr>
      <w:r>
        <w:rPr>
          <w:rFonts w:ascii="Arial" w:eastAsia="Arial" w:hAnsi="Arial" w:cs="Arial"/>
          <w:color w:val="000000"/>
          <w:sz w:val="20"/>
          <w:szCs w:val="20"/>
        </w:rPr>
        <w:t>All Sub-processors who process Personal Data shall comply with the obligations of the Processor set out in this DPA. The Processor shall prior to the relevant Sub-processor carrying out any processing activities in respect of the Personal Data: (i) appoint each Sub-processor under a written contract containing materially the same obligations to those of the processor in this DPA enforceable by the Processor; and (ii) ensure each such Sub-processor complies with all such obligations.</w:t>
      </w:r>
    </w:p>
    <w:p w14:paraId="3A32E78B" w14:textId="77777777" w:rsidR="0095748B" w:rsidRDefault="00000000">
      <w:pPr>
        <w:numPr>
          <w:ilvl w:val="1"/>
          <w:numId w:val="2"/>
        </w:numPr>
        <w:pBdr>
          <w:top w:val="nil"/>
          <w:left w:val="nil"/>
          <w:bottom w:val="nil"/>
          <w:right w:val="nil"/>
          <w:between w:val="nil"/>
        </w:pBdr>
        <w:tabs>
          <w:tab w:val="left" w:pos="709"/>
        </w:tabs>
        <w:spacing w:after="120"/>
        <w:ind w:left="709" w:hanging="709"/>
        <w:jc w:val="both"/>
      </w:pPr>
      <w:r>
        <w:rPr>
          <w:rFonts w:ascii="Arial" w:eastAsia="Arial" w:hAnsi="Arial" w:cs="Arial"/>
          <w:color w:val="000000"/>
          <w:sz w:val="20"/>
          <w:szCs w:val="20"/>
        </w:rPr>
        <w:t>The Controller agrees that the Processor and its Sub-processors may make Restricted Transfers of Personal Data for the purpose of providing the Services to the Controller in accordance with the Agreement. The Processor confirms that such Sub-processors: (i) are located in a third country or territory recognised by the EU Commission or a Supervisory Authority, as applicable, to have an adequate level of protection; or (ii) have entered into the applicable SCCs with the Processor; or (iii) have other legally recognised appropriate safeguards in place.</w:t>
      </w:r>
    </w:p>
    <w:p w14:paraId="4DE98B19" w14:textId="77777777" w:rsidR="0095748B" w:rsidRDefault="00000000">
      <w:pPr>
        <w:numPr>
          <w:ilvl w:val="0"/>
          <w:numId w:val="2"/>
        </w:numPr>
        <w:spacing w:after="120" w:line="276" w:lineRule="auto"/>
        <w:ind w:left="709" w:hanging="709"/>
        <w:jc w:val="both"/>
      </w:pPr>
      <w:r>
        <w:rPr>
          <w:rFonts w:ascii="Arial" w:eastAsia="Arial" w:hAnsi="Arial" w:cs="Arial"/>
          <w:b/>
          <w:sz w:val="20"/>
          <w:szCs w:val="20"/>
        </w:rPr>
        <w:t>Restricted Transfers</w:t>
      </w:r>
    </w:p>
    <w:p w14:paraId="138A227D" w14:textId="77777777" w:rsidR="0095748B" w:rsidRDefault="00000000">
      <w:pPr>
        <w:numPr>
          <w:ilvl w:val="1"/>
          <w:numId w:val="2"/>
        </w:numPr>
        <w:tabs>
          <w:tab w:val="left" w:pos="709"/>
        </w:tabs>
        <w:spacing w:after="120"/>
        <w:ind w:left="709" w:hanging="709"/>
        <w:jc w:val="both"/>
      </w:pPr>
      <w:r>
        <w:rPr>
          <w:rFonts w:ascii="Arial" w:eastAsia="Arial" w:hAnsi="Arial" w:cs="Arial"/>
          <w:sz w:val="20"/>
          <w:szCs w:val="20"/>
        </w:rPr>
        <w:t>The parties agree that, when the transfer of Personal Data occurs between the Controller and the Processor or from the Processor to a Sub-processor which is a Restricted Transfer, it shall be subject to the applicable SCCs.</w:t>
      </w:r>
    </w:p>
    <w:p w14:paraId="3559D82C" w14:textId="77777777" w:rsidR="0095748B" w:rsidRDefault="00000000">
      <w:pPr>
        <w:numPr>
          <w:ilvl w:val="1"/>
          <w:numId w:val="2"/>
        </w:numPr>
        <w:tabs>
          <w:tab w:val="left" w:pos="709"/>
        </w:tabs>
        <w:spacing w:after="120"/>
        <w:ind w:left="709" w:hanging="709"/>
        <w:jc w:val="both"/>
      </w:pPr>
      <w:r>
        <w:rPr>
          <w:rFonts w:ascii="Arial" w:eastAsia="Arial" w:hAnsi="Arial" w:cs="Arial"/>
          <w:sz w:val="20"/>
          <w:szCs w:val="20"/>
        </w:rPr>
        <w:t xml:space="preserve">The parties agree that the EU SCCs shall apply to Restricted Transfers from the EEA. The EU SCCs shall be deemed entered into (and incorporated into this DPA by reference) and completed as follows: </w:t>
      </w:r>
    </w:p>
    <w:p w14:paraId="52C6E3C1" w14:textId="77777777" w:rsidR="0095748B" w:rsidRDefault="00000000">
      <w:pPr>
        <w:numPr>
          <w:ilvl w:val="0"/>
          <w:numId w:val="11"/>
        </w:numPr>
        <w:tabs>
          <w:tab w:val="left" w:pos="709"/>
          <w:tab w:val="left" w:pos="1418"/>
        </w:tabs>
        <w:spacing w:after="120"/>
        <w:jc w:val="both"/>
      </w:pPr>
      <w:r>
        <w:rPr>
          <w:rFonts w:ascii="Arial" w:eastAsia="Arial" w:hAnsi="Arial" w:cs="Arial"/>
          <w:sz w:val="20"/>
          <w:szCs w:val="20"/>
        </w:rPr>
        <w:t>Module Two (Controller to Processor) shall apply where the Customer is a Controller of Personal Data and the Company is processing Personal Data;</w:t>
      </w:r>
    </w:p>
    <w:p w14:paraId="331C3FCD" w14:textId="77777777" w:rsidR="0095748B" w:rsidRDefault="00000000">
      <w:pPr>
        <w:numPr>
          <w:ilvl w:val="0"/>
          <w:numId w:val="11"/>
        </w:numPr>
        <w:tabs>
          <w:tab w:val="left" w:pos="709"/>
          <w:tab w:val="left" w:pos="1418"/>
        </w:tabs>
        <w:spacing w:after="120"/>
        <w:jc w:val="both"/>
      </w:pPr>
      <w:r>
        <w:rPr>
          <w:rFonts w:ascii="Arial" w:eastAsia="Arial" w:hAnsi="Arial" w:cs="Arial"/>
          <w:sz w:val="20"/>
          <w:szCs w:val="20"/>
        </w:rPr>
        <w:t>Module Three (Processor to Processor) shall apply where the Company is a Processor of the Personal Data and the Company uses a Sub-processor to process the Personal Data;</w:t>
      </w:r>
    </w:p>
    <w:p w14:paraId="5DC86966" w14:textId="77777777" w:rsidR="0095748B" w:rsidRDefault="00000000">
      <w:pPr>
        <w:numPr>
          <w:ilvl w:val="0"/>
          <w:numId w:val="11"/>
        </w:numPr>
        <w:tabs>
          <w:tab w:val="left" w:pos="709"/>
          <w:tab w:val="left" w:pos="1418"/>
        </w:tabs>
        <w:spacing w:after="120"/>
        <w:jc w:val="both"/>
      </w:pPr>
      <w:r>
        <w:rPr>
          <w:rFonts w:ascii="Arial" w:eastAsia="Arial" w:hAnsi="Arial" w:cs="Arial"/>
          <w:sz w:val="20"/>
          <w:szCs w:val="20"/>
        </w:rPr>
        <w:t>Module Four (Processor to Controller) shall apply where the Company is processing Personal Data and the Customer is not subject to the EU GDPR or UK GDPR;</w:t>
      </w:r>
    </w:p>
    <w:p w14:paraId="6C80444B" w14:textId="77777777" w:rsidR="0095748B" w:rsidRDefault="00000000">
      <w:pPr>
        <w:numPr>
          <w:ilvl w:val="0"/>
          <w:numId w:val="11"/>
        </w:numPr>
        <w:tabs>
          <w:tab w:val="left" w:pos="709"/>
          <w:tab w:val="left" w:pos="1418"/>
        </w:tabs>
        <w:spacing w:after="120"/>
        <w:jc w:val="both"/>
      </w:pPr>
      <w:r>
        <w:rPr>
          <w:rFonts w:ascii="Arial" w:eastAsia="Arial" w:hAnsi="Arial" w:cs="Arial"/>
          <w:sz w:val="20"/>
          <w:szCs w:val="20"/>
        </w:rPr>
        <w:t>In Clause 7 of the EU SCCs, the optional docking clause does not apply;</w:t>
      </w:r>
    </w:p>
    <w:p w14:paraId="0FC8F413" w14:textId="77777777" w:rsidR="0095748B" w:rsidRDefault="00000000">
      <w:pPr>
        <w:numPr>
          <w:ilvl w:val="0"/>
          <w:numId w:val="11"/>
        </w:numPr>
        <w:tabs>
          <w:tab w:val="left" w:pos="709"/>
          <w:tab w:val="left" w:pos="1418"/>
        </w:tabs>
        <w:spacing w:after="120"/>
        <w:jc w:val="both"/>
      </w:pPr>
      <w:r>
        <w:rPr>
          <w:rFonts w:ascii="Arial" w:eastAsia="Arial" w:hAnsi="Arial" w:cs="Arial"/>
          <w:sz w:val="20"/>
          <w:szCs w:val="20"/>
        </w:rPr>
        <w:t>In Clause 9 of the EU SCCs Option 2 applies, and the time period for giving notice of Sub-processor changes shall be as set out in clause 6.3 of this DPA;</w:t>
      </w:r>
    </w:p>
    <w:p w14:paraId="2B4835ED" w14:textId="77777777" w:rsidR="0095748B" w:rsidRDefault="00000000">
      <w:pPr>
        <w:numPr>
          <w:ilvl w:val="0"/>
          <w:numId w:val="11"/>
        </w:numPr>
        <w:tabs>
          <w:tab w:val="left" w:pos="709"/>
          <w:tab w:val="left" w:pos="1418"/>
        </w:tabs>
        <w:spacing w:after="120"/>
        <w:jc w:val="both"/>
      </w:pPr>
      <w:r>
        <w:rPr>
          <w:rFonts w:ascii="Arial" w:eastAsia="Arial" w:hAnsi="Arial" w:cs="Arial"/>
          <w:sz w:val="20"/>
          <w:szCs w:val="20"/>
        </w:rPr>
        <w:t>In Clause 11 of the EU SCCs, the optional language shall not apply;</w:t>
      </w:r>
    </w:p>
    <w:p w14:paraId="0C498158" w14:textId="77777777" w:rsidR="0095748B" w:rsidRDefault="00000000">
      <w:pPr>
        <w:numPr>
          <w:ilvl w:val="0"/>
          <w:numId w:val="11"/>
        </w:numPr>
        <w:tabs>
          <w:tab w:val="left" w:pos="709"/>
          <w:tab w:val="left" w:pos="1418"/>
        </w:tabs>
        <w:spacing w:after="120"/>
        <w:jc w:val="both"/>
      </w:pPr>
      <w:r>
        <w:rPr>
          <w:rFonts w:ascii="Arial" w:eastAsia="Arial" w:hAnsi="Arial" w:cs="Arial"/>
          <w:sz w:val="20"/>
          <w:szCs w:val="20"/>
        </w:rPr>
        <w:t>In Clause 17 of the EU SCCs, Option 1 applies and the EU SCCs shall be governed by Irish law;</w:t>
      </w:r>
    </w:p>
    <w:p w14:paraId="7AF3C1F1" w14:textId="77777777" w:rsidR="0095748B" w:rsidRDefault="00000000">
      <w:pPr>
        <w:numPr>
          <w:ilvl w:val="0"/>
          <w:numId w:val="11"/>
        </w:numPr>
        <w:tabs>
          <w:tab w:val="left" w:pos="709"/>
          <w:tab w:val="left" w:pos="1418"/>
        </w:tabs>
        <w:spacing w:after="120"/>
        <w:jc w:val="both"/>
      </w:pPr>
      <w:r>
        <w:rPr>
          <w:rFonts w:ascii="Arial" w:eastAsia="Arial" w:hAnsi="Arial" w:cs="Arial"/>
          <w:sz w:val="20"/>
          <w:szCs w:val="20"/>
        </w:rPr>
        <w:t>In Clause 18(b) of the EU SCCs, disputes shall be resolved by the courts of Ireland;</w:t>
      </w:r>
    </w:p>
    <w:p w14:paraId="7464247F" w14:textId="77777777" w:rsidR="0095748B" w:rsidRDefault="00000000">
      <w:pPr>
        <w:numPr>
          <w:ilvl w:val="0"/>
          <w:numId w:val="11"/>
        </w:numPr>
        <w:tabs>
          <w:tab w:val="left" w:pos="709"/>
          <w:tab w:val="left" w:pos="1418"/>
        </w:tabs>
        <w:spacing w:after="120"/>
        <w:jc w:val="both"/>
      </w:pPr>
      <w:r>
        <w:rPr>
          <w:rFonts w:ascii="Arial" w:eastAsia="Arial" w:hAnsi="Arial" w:cs="Arial"/>
          <w:sz w:val="20"/>
          <w:szCs w:val="20"/>
        </w:rPr>
        <w:t>Annex I of the EU SCCs shall be deemed completed with the information set out in Exhibit A of this DPA;</w:t>
      </w:r>
    </w:p>
    <w:p w14:paraId="40D91632" w14:textId="77777777" w:rsidR="0095748B" w:rsidRDefault="00000000">
      <w:pPr>
        <w:numPr>
          <w:ilvl w:val="0"/>
          <w:numId w:val="11"/>
        </w:numPr>
        <w:tabs>
          <w:tab w:val="left" w:pos="709"/>
          <w:tab w:val="left" w:pos="1418"/>
        </w:tabs>
        <w:spacing w:after="120"/>
        <w:jc w:val="both"/>
      </w:pPr>
      <w:r>
        <w:rPr>
          <w:rFonts w:ascii="Arial" w:eastAsia="Arial" w:hAnsi="Arial" w:cs="Arial"/>
          <w:sz w:val="20"/>
          <w:szCs w:val="20"/>
        </w:rPr>
        <w:t>Annex II of the EU SCCs shall be deemed completed with the information set out in Exhibit B of this DPA;</w:t>
      </w:r>
    </w:p>
    <w:p w14:paraId="633551F5" w14:textId="77777777" w:rsidR="0095748B" w:rsidRDefault="00000000">
      <w:pPr>
        <w:numPr>
          <w:ilvl w:val="1"/>
          <w:numId w:val="2"/>
        </w:numPr>
        <w:tabs>
          <w:tab w:val="left" w:pos="709"/>
        </w:tabs>
        <w:spacing w:after="120"/>
        <w:ind w:left="709" w:hanging="709"/>
        <w:jc w:val="both"/>
      </w:pPr>
      <w:r>
        <w:rPr>
          <w:rFonts w:ascii="Arial" w:eastAsia="Arial" w:hAnsi="Arial" w:cs="Arial"/>
          <w:sz w:val="20"/>
          <w:szCs w:val="20"/>
        </w:rPr>
        <w:lastRenderedPageBreak/>
        <w:t>The Parties agree that the EU SCCs as amended in clause 7.2 above, shall be adjusted as set out below where the FDPA applies to any Restricted Transfer:</w:t>
      </w:r>
    </w:p>
    <w:p w14:paraId="0F95FD06" w14:textId="77777777" w:rsidR="0095748B" w:rsidRDefault="00000000">
      <w:pPr>
        <w:numPr>
          <w:ilvl w:val="0"/>
          <w:numId w:val="3"/>
        </w:numPr>
        <w:tabs>
          <w:tab w:val="left" w:pos="709"/>
          <w:tab w:val="left" w:pos="1418"/>
        </w:tabs>
        <w:spacing w:after="120"/>
        <w:jc w:val="both"/>
      </w:pPr>
      <w:r>
        <w:rPr>
          <w:rFonts w:ascii="Arial" w:eastAsia="Arial" w:hAnsi="Arial" w:cs="Arial"/>
          <w:sz w:val="20"/>
          <w:szCs w:val="20"/>
        </w:rPr>
        <w:t>The Swiss Federal Data Protection and Information Commissioner (“FDPIC”) shall be the sole Supervisory Authority for Restricted Transfers exclusively subject to the FDPA;</w:t>
      </w:r>
    </w:p>
    <w:p w14:paraId="08187A91" w14:textId="77777777" w:rsidR="0095748B" w:rsidRDefault="00000000">
      <w:pPr>
        <w:numPr>
          <w:ilvl w:val="0"/>
          <w:numId w:val="3"/>
        </w:numPr>
        <w:tabs>
          <w:tab w:val="left" w:pos="709"/>
          <w:tab w:val="left" w:pos="1418"/>
        </w:tabs>
        <w:spacing w:after="120"/>
        <w:jc w:val="both"/>
      </w:pPr>
      <w:r>
        <w:rPr>
          <w:rFonts w:ascii="Arial" w:eastAsia="Arial" w:hAnsi="Arial" w:cs="Arial"/>
          <w:sz w:val="20"/>
          <w:szCs w:val="20"/>
        </w:rPr>
        <w:t>Restricted Transfers subject to both the FDPA and the EU GDPR, shall be dealt with by the EU Supervisory Authority named in Exhibit A of this DPA;</w:t>
      </w:r>
    </w:p>
    <w:p w14:paraId="2E22C6AC" w14:textId="77777777" w:rsidR="0095748B" w:rsidRDefault="00000000">
      <w:pPr>
        <w:numPr>
          <w:ilvl w:val="0"/>
          <w:numId w:val="3"/>
        </w:numPr>
        <w:tabs>
          <w:tab w:val="left" w:pos="709"/>
          <w:tab w:val="left" w:pos="1418"/>
        </w:tabs>
        <w:spacing w:after="120"/>
        <w:jc w:val="both"/>
      </w:pPr>
      <w:r>
        <w:rPr>
          <w:rFonts w:ascii="Arial" w:eastAsia="Arial" w:hAnsi="Arial" w:cs="Arial"/>
          <w:sz w:val="20"/>
          <w:szCs w:val="20"/>
        </w:rPr>
        <w:t xml:space="preserve">The term ’member state’ must not be interpreted in such a way as to exclude data subjects in Switzerland from the possibility of suing for their rights in their place of habitual residence (Switzerland) in accordance with Clause 18(c) of the EU SCCs; </w:t>
      </w:r>
    </w:p>
    <w:p w14:paraId="072C7E98" w14:textId="77777777" w:rsidR="0095748B" w:rsidRDefault="00000000">
      <w:pPr>
        <w:numPr>
          <w:ilvl w:val="0"/>
          <w:numId w:val="3"/>
        </w:numPr>
        <w:tabs>
          <w:tab w:val="left" w:pos="709"/>
          <w:tab w:val="left" w:pos="1418"/>
        </w:tabs>
        <w:spacing w:after="120"/>
        <w:jc w:val="both"/>
      </w:pPr>
      <w:r>
        <w:rPr>
          <w:rFonts w:ascii="Arial" w:eastAsia="Arial" w:hAnsi="Arial" w:cs="Arial"/>
          <w:sz w:val="20"/>
          <w:szCs w:val="20"/>
        </w:rPr>
        <w:t>Where Restricted Transfers are exclusively subject to the FDPA, all references to the GDPR in the EU SCCs are to be understood to be references to the FDPA;</w:t>
      </w:r>
    </w:p>
    <w:p w14:paraId="510132FB" w14:textId="77777777" w:rsidR="0095748B" w:rsidRDefault="00000000">
      <w:pPr>
        <w:numPr>
          <w:ilvl w:val="0"/>
          <w:numId w:val="3"/>
        </w:numPr>
        <w:tabs>
          <w:tab w:val="left" w:pos="709"/>
          <w:tab w:val="left" w:pos="1418"/>
        </w:tabs>
        <w:spacing w:after="120"/>
        <w:jc w:val="both"/>
      </w:pPr>
      <w:r>
        <w:rPr>
          <w:rFonts w:ascii="Arial" w:eastAsia="Arial" w:hAnsi="Arial" w:cs="Arial"/>
          <w:sz w:val="20"/>
          <w:szCs w:val="20"/>
        </w:rPr>
        <w:t>Where Restricted Transfers are subject to both the FDPA and the EU GDPR, all references to the GDPR in the EU SCCs are to be understood to be references to the FDPA insofar as the Restricted Transfers are subject to the FDPA;</w:t>
      </w:r>
    </w:p>
    <w:p w14:paraId="360DB601" w14:textId="77777777" w:rsidR="0095748B" w:rsidRDefault="00000000">
      <w:pPr>
        <w:numPr>
          <w:ilvl w:val="0"/>
          <w:numId w:val="3"/>
        </w:numPr>
        <w:tabs>
          <w:tab w:val="left" w:pos="709"/>
          <w:tab w:val="left" w:pos="1418"/>
        </w:tabs>
        <w:spacing w:after="120"/>
        <w:jc w:val="both"/>
      </w:pPr>
      <w:r>
        <w:rPr>
          <w:rFonts w:ascii="Arial" w:eastAsia="Arial" w:hAnsi="Arial" w:cs="Arial"/>
          <w:sz w:val="20"/>
          <w:szCs w:val="20"/>
        </w:rPr>
        <w:t>The Swiss SCCs also protect the Personal Data of legal entities until the entry into force of the revised FDPA.</w:t>
      </w:r>
    </w:p>
    <w:p w14:paraId="470C10A4" w14:textId="77777777" w:rsidR="0095748B" w:rsidRDefault="00000000">
      <w:pPr>
        <w:numPr>
          <w:ilvl w:val="1"/>
          <w:numId w:val="2"/>
        </w:numPr>
        <w:tabs>
          <w:tab w:val="left" w:pos="709"/>
        </w:tabs>
        <w:spacing w:after="120"/>
        <w:ind w:left="709" w:hanging="709"/>
        <w:jc w:val="both"/>
      </w:pPr>
      <w:r>
        <w:rPr>
          <w:rFonts w:ascii="Arial" w:eastAsia="Arial" w:hAnsi="Arial" w:cs="Arial"/>
          <w:sz w:val="20"/>
          <w:szCs w:val="20"/>
        </w:rPr>
        <w:t>The parties agree that the UK SCCs shall apply to Restricted Transfers from the UK and the UK SCCs shall be deemed entered into (and incorporated into this DPA by reference), as set out in Exhibit C of this DPA.</w:t>
      </w:r>
    </w:p>
    <w:p w14:paraId="34E739F9" w14:textId="77777777" w:rsidR="0095748B" w:rsidRDefault="00000000">
      <w:pPr>
        <w:numPr>
          <w:ilvl w:val="1"/>
          <w:numId w:val="2"/>
        </w:numPr>
        <w:tabs>
          <w:tab w:val="left" w:pos="709"/>
          <w:tab w:val="left" w:pos="1418"/>
        </w:tabs>
        <w:spacing w:after="120"/>
        <w:ind w:left="709" w:hanging="709"/>
        <w:jc w:val="both"/>
      </w:pPr>
      <w:r>
        <w:rPr>
          <w:rFonts w:ascii="Arial" w:eastAsia="Arial" w:hAnsi="Arial" w:cs="Arial"/>
          <w:sz w:val="20"/>
          <w:szCs w:val="20"/>
        </w:rPr>
        <w:t>In the event that any provision of this DPA contradicts directly or indirectly any SCCs, the provisions of the applicable SCCs shall prevail over the terms of the DPA.</w:t>
      </w:r>
    </w:p>
    <w:p w14:paraId="25A7C97E" w14:textId="77777777" w:rsidR="0095748B" w:rsidRDefault="00000000">
      <w:pPr>
        <w:numPr>
          <w:ilvl w:val="0"/>
          <w:numId w:val="2"/>
        </w:numPr>
        <w:spacing w:after="120" w:line="276" w:lineRule="auto"/>
        <w:ind w:left="709" w:hanging="709"/>
        <w:jc w:val="both"/>
      </w:pPr>
      <w:r>
        <w:rPr>
          <w:rFonts w:ascii="Arial" w:eastAsia="Arial" w:hAnsi="Arial" w:cs="Arial"/>
          <w:b/>
          <w:sz w:val="20"/>
          <w:szCs w:val="20"/>
        </w:rPr>
        <w:t>Data Subject Access Requests</w:t>
      </w:r>
    </w:p>
    <w:p w14:paraId="30E9BDEB" w14:textId="77777777" w:rsidR="0095748B" w:rsidRDefault="00000000">
      <w:pPr>
        <w:numPr>
          <w:ilvl w:val="1"/>
          <w:numId w:val="2"/>
        </w:numPr>
        <w:pBdr>
          <w:top w:val="nil"/>
          <w:left w:val="nil"/>
          <w:bottom w:val="nil"/>
          <w:right w:val="nil"/>
          <w:between w:val="nil"/>
        </w:pBdr>
        <w:tabs>
          <w:tab w:val="left" w:pos="709"/>
        </w:tabs>
        <w:ind w:left="709" w:hanging="709"/>
        <w:jc w:val="both"/>
      </w:pPr>
      <w:r>
        <w:rPr>
          <w:rFonts w:ascii="Arial" w:eastAsia="Arial" w:hAnsi="Arial" w:cs="Arial"/>
          <w:color w:val="000000"/>
          <w:sz w:val="20"/>
          <w:szCs w:val="20"/>
        </w:rPr>
        <w:t>The Controller may require correction, deletion, blocking and/or making available the Personal Data during or after termination of the Agreement. The Controller acknowledges and agrees that the Processor will process the request to the extent it is lawful and will reasonably fulfil such request in accordance with its standard operational procedures to the extent possible.</w:t>
      </w:r>
    </w:p>
    <w:p w14:paraId="12279D5E" w14:textId="77777777" w:rsidR="0095748B" w:rsidRDefault="00000000">
      <w:pPr>
        <w:numPr>
          <w:ilvl w:val="1"/>
          <w:numId w:val="2"/>
        </w:numPr>
        <w:pBdr>
          <w:top w:val="nil"/>
          <w:left w:val="nil"/>
          <w:bottom w:val="nil"/>
          <w:right w:val="nil"/>
          <w:between w:val="nil"/>
        </w:pBdr>
        <w:tabs>
          <w:tab w:val="left" w:pos="709"/>
        </w:tabs>
        <w:ind w:left="709" w:hanging="709"/>
        <w:jc w:val="both"/>
      </w:pPr>
      <w:r>
        <w:rPr>
          <w:rFonts w:ascii="Arial" w:eastAsia="Arial" w:hAnsi="Arial" w:cs="Arial"/>
          <w:color w:val="000000"/>
          <w:sz w:val="20"/>
          <w:szCs w:val="20"/>
        </w:rPr>
        <w:t xml:space="preserve">In the event that the Processor receives a request from a Data Subject in relation to Personal Data, the Processor will refer the Data Subject to the Controller unless otherwise prohibited by law. The Controller shall reimburse the Processor for all costs incurred resulting from providing reasonable assistance in dealing with a Data Subject request. In the event that the Processor is legally required to respond to the Data Subject, the Controller will fully cooperate with the Processor as applicable. </w:t>
      </w:r>
    </w:p>
    <w:p w14:paraId="14CCCD15" w14:textId="77777777" w:rsidR="0095748B" w:rsidRDefault="00000000">
      <w:pPr>
        <w:numPr>
          <w:ilvl w:val="0"/>
          <w:numId w:val="2"/>
        </w:numPr>
        <w:pBdr>
          <w:top w:val="nil"/>
          <w:left w:val="nil"/>
          <w:bottom w:val="nil"/>
          <w:right w:val="nil"/>
          <w:between w:val="nil"/>
        </w:pBdr>
        <w:spacing w:line="276" w:lineRule="auto"/>
        <w:ind w:left="709" w:hanging="709"/>
        <w:jc w:val="both"/>
      </w:pPr>
      <w:r>
        <w:rPr>
          <w:rFonts w:ascii="Arial" w:eastAsia="Arial" w:hAnsi="Arial" w:cs="Arial"/>
          <w:b/>
          <w:color w:val="000000"/>
          <w:sz w:val="20"/>
          <w:szCs w:val="20"/>
        </w:rPr>
        <w:t>Audit</w:t>
      </w:r>
      <w:r>
        <w:rPr>
          <w:rFonts w:ascii="Arial" w:eastAsia="Arial" w:hAnsi="Arial" w:cs="Arial"/>
          <w:color w:val="000000"/>
          <w:sz w:val="20"/>
          <w:szCs w:val="20"/>
        </w:rPr>
        <w:t xml:space="preserve"> </w:t>
      </w:r>
    </w:p>
    <w:p w14:paraId="0FE45F5F" w14:textId="77777777" w:rsidR="0095748B" w:rsidRDefault="00000000">
      <w:pPr>
        <w:numPr>
          <w:ilvl w:val="1"/>
          <w:numId w:val="2"/>
        </w:numPr>
        <w:pBdr>
          <w:top w:val="nil"/>
          <w:left w:val="nil"/>
          <w:bottom w:val="nil"/>
          <w:right w:val="nil"/>
          <w:between w:val="nil"/>
        </w:pBdr>
        <w:tabs>
          <w:tab w:val="left" w:pos="709"/>
        </w:tabs>
        <w:ind w:left="709" w:hanging="709"/>
        <w:jc w:val="both"/>
      </w:pPr>
      <w:r>
        <w:rPr>
          <w:rFonts w:ascii="Arial" w:eastAsia="Arial" w:hAnsi="Arial" w:cs="Arial"/>
          <w:color w:val="000000"/>
          <w:sz w:val="20"/>
          <w:szCs w:val="20"/>
        </w:rPr>
        <w:t>The Processor shall make available to the Controller all information reasonably necessary to demonstrate compliance with its processing obligations and allow for and contribute to audits and inspections.  </w:t>
      </w:r>
    </w:p>
    <w:p w14:paraId="472B7097" w14:textId="77777777" w:rsidR="0095748B" w:rsidRDefault="00000000">
      <w:pPr>
        <w:numPr>
          <w:ilvl w:val="1"/>
          <w:numId w:val="2"/>
        </w:numPr>
        <w:pBdr>
          <w:top w:val="nil"/>
          <w:left w:val="nil"/>
          <w:bottom w:val="nil"/>
          <w:right w:val="nil"/>
          <w:between w:val="nil"/>
        </w:pBdr>
        <w:tabs>
          <w:tab w:val="left" w:pos="709"/>
        </w:tabs>
        <w:ind w:left="709" w:hanging="709"/>
        <w:jc w:val="both"/>
      </w:pPr>
      <w:r>
        <w:rPr>
          <w:rFonts w:ascii="Arial" w:eastAsia="Arial" w:hAnsi="Arial" w:cs="Arial"/>
          <w:color w:val="000000"/>
          <w:sz w:val="20"/>
          <w:szCs w:val="20"/>
        </w:rPr>
        <w:t xml:space="preserve">Any audit conducted under this DPA shall consist of examination of the most recent reports, certificates and/or extracts prepared by an independent auditor bound by confidentiality provisions similar to those set out in the Agreement. In the event that provision of the same is not deemed sufficient in the reasonable opinion of the Controller, the Controller may conduct a more extensive audit which shall be: (i) at the Controller’s expense; (ii) limited in scope to matters specific to the Controller and agreed in advance; (iii) carried out during the Processor’s usual business hours and upon reasonable notice which shall be not less than 4 weeks unless an identifiable material issue has arisen; and (iv) conducted in a way which does not interfere with the Processor’s day-to-day business. </w:t>
      </w:r>
    </w:p>
    <w:p w14:paraId="688B29B8" w14:textId="77777777" w:rsidR="0095748B" w:rsidRDefault="00000000">
      <w:pPr>
        <w:numPr>
          <w:ilvl w:val="1"/>
          <w:numId w:val="2"/>
        </w:numPr>
        <w:pBdr>
          <w:top w:val="nil"/>
          <w:left w:val="nil"/>
          <w:bottom w:val="nil"/>
          <w:right w:val="nil"/>
          <w:between w:val="nil"/>
        </w:pBdr>
        <w:tabs>
          <w:tab w:val="left" w:pos="709"/>
        </w:tabs>
        <w:ind w:left="709" w:hanging="709"/>
        <w:jc w:val="both"/>
      </w:pPr>
      <w:r>
        <w:rPr>
          <w:rFonts w:ascii="Arial" w:eastAsia="Arial" w:hAnsi="Arial" w:cs="Arial"/>
          <w:color w:val="000000"/>
          <w:sz w:val="20"/>
          <w:szCs w:val="20"/>
        </w:rPr>
        <w:t>This clause shall not modify or limit the rights of audit of the Controller, instead it is intended to clarify the procedures in respect of any audit undertaken pursuant thereto.</w:t>
      </w:r>
    </w:p>
    <w:p w14:paraId="3DCC6205" w14:textId="77777777" w:rsidR="0095748B" w:rsidRDefault="00000000">
      <w:pPr>
        <w:numPr>
          <w:ilvl w:val="0"/>
          <w:numId w:val="2"/>
        </w:numPr>
        <w:pBdr>
          <w:top w:val="nil"/>
          <w:left w:val="nil"/>
          <w:bottom w:val="nil"/>
          <w:right w:val="nil"/>
          <w:between w:val="nil"/>
        </w:pBdr>
        <w:spacing w:after="120" w:line="276" w:lineRule="auto"/>
        <w:ind w:left="709" w:hanging="709"/>
        <w:jc w:val="both"/>
      </w:pPr>
      <w:r>
        <w:rPr>
          <w:rFonts w:ascii="Arial" w:eastAsia="Arial" w:hAnsi="Arial" w:cs="Arial"/>
          <w:b/>
          <w:color w:val="000000"/>
          <w:sz w:val="20"/>
          <w:szCs w:val="20"/>
        </w:rPr>
        <w:t>Personal Data Breach</w:t>
      </w:r>
    </w:p>
    <w:p w14:paraId="64D91C0D" w14:textId="77777777" w:rsidR="0095748B" w:rsidRDefault="00000000">
      <w:pPr>
        <w:numPr>
          <w:ilvl w:val="1"/>
          <w:numId w:val="2"/>
        </w:numPr>
        <w:tabs>
          <w:tab w:val="left" w:pos="709"/>
        </w:tabs>
        <w:spacing w:after="120"/>
        <w:ind w:left="709" w:hanging="709"/>
        <w:jc w:val="both"/>
      </w:pPr>
      <w:r>
        <w:rPr>
          <w:rFonts w:ascii="Arial" w:eastAsia="Arial" w:hAnsi="Arial" w:cs="Arial"/>
          <w:sz w:val="20"/>
          <w:szCs w:val="20"/>
        </w:rPr>
        <w:t>The Processor shall notify the Controller without undue delay after becoming aware of (and in any event within 72 hours of discovering) any accidental or unlawful destruction, loss, alteration or unauthorised disclosure or access to any Personal Data (“</w:t>
      </w:r>
      <w:r>
        <w:rPr>
          <w:rFonts w:ascii="Arial" w:eastAsia="Arial" w:hAnsi="Arial" w:cs="Arial"/>
          <w:b/>
          <w:sz w:val="20"/>
          <w:szCs w:val="20"/>
        </w:rPr>
        <w:t>Personal</w:t>
      </w:r>
      <w:r>
        <w:rPr>
          <w:rFonts w:ascii="Arial" w:eastAsia="Arial" w:hAnsi="Arial" w:cs="Arial"/>
          <w:sz w:val="20"/>
          <w:szCs w:val="20"/>
        </w:rPr>
        <w:t xml:space="preserve"> </w:t>
      </w:r>
      <w:r>
        <w:rPr>
          <w:rFonts w:ascii="Arial" w:eastAsia="Arial" w:hAnsi="Arial" w:cs="Arial"/>
          <w:b/>
          <w:sz w:val="20"/>
          <w:szCs w:val="20"/>
        </w:rPr>
        <w:t>Data Breach</w:t>
      </w:r>
      <w:r>
        <w:rPr>
          <w:rFonts w:ascii="Arial" w:eastAsia="Arial" w:hAnsi="Arial" w:cs="Arial"/>
          <w:sz w:val="20"/>
          <w:szCs w:val="20"/>
        </w:rPr>
        <w:t xml:space="preserve">”). </w:t>
      </w:r>
    </w:p>
    <w:p w14:paraId="78160E70" w14:textId="77777777" w:rsidR="0095748B" w:rsidRDefault="00000000">
      <w:pPr>
        <w:numPr>
          <w:ilvl w:val="1"/>
          <w:numId w:val="2"/>
        </w:numPr>
        <w:pBdr>
          <w:top w:val="nil"/>
          <w:left w:val="nil"/>
          <w:bottom w:val="nil"/>
          <w:right w:val="nil"/>
          <w:between w:val="nil"/>
        </w:pBdr>
        <w:tabs>
          <w:tab w:val="left" w:pos="709"/>
        </w:tabs>
        <w:ind w:left="709" w:hanging="709"/>
        <w:jc w:val="both"/>
      </w:pPr>
      <w:r>
        <w:rPr>
          <w:rFonts w:ascii="Arial" w:eastAsia="Arial" w:hAnsi="Arial" w:cs="Arial"/>
          <w:color w:val="000000"/>
          <w:sz w:val="20"/>
          <w:szCs w:val="20"/>
        </w:rPr>
        <w:t xml:space="preserve">The Processor shall take all commercially reasonable measures to secure the Personal Data, to limit the effects of any Personal Data Breach, and to assist the Controller in meeting the Controller’s obligations under applicable law. </w:t>
      </w:r>
    </w:p>
    <w:p w14:paraId="0134D83A" w14:textId="77777777" w:rsidR="0095748B" w:rsidRDefault="00000000">
      <w:pPr>
        <w:numPr>
          <w:ilvl w:val="0"/>
          <w:numId w:val="2"/>
        </w:numPr>
        <w:pBdr>
          <w:top w:val="nil"/>
          <w:left w:val="nil"/>
          <w:bottom w:val="nil"/>
          <w:right w:val="nil"/>
          <w:between w:val="nil"/>
        </w:pBdr>
        <w:spacing w:line="276" w:lineRule="auto"/>
        <w:ind w:left="709" w:hanging="709"/>
        <w:jc w:val="both"/>
      </w:pPr>
      <w:r>
        <w:rPr>
          <w:rFonts w:ascii="Arial" w:eastAsia="Arial" w:hAnsi="Arial" w:cs="Arial"/>
          <w:b/>
          <w:color w:val="000000"/>
          <w:sz w:val="20"/>
          <w:szCs w:val="20"/>
        </w:rPr>
        <w:t>Compliance,</w:t>
      </w:r>
      <w:r>
        <w:rPr>
          <w:rFonts w:ascii="Arial" w:eastAsia="Arial" w:hAnsi="Arial" w:cs="Arial"/>
          <w:color w:val="000000"/>
          <w:sz w:val="20"/>
          <w:szCs w:val="20"/>
        </w:rPr>
        <w:t xml:space="preserve"> </w:t>
      </w:r>
      <w:r>
        <w:rPr>
          <w:rFonts w:ascii="Arial" w:eastAsia="Arial" w:hAnsi="Arial" w:cs="Arial"/>
          <w:b/>
          <w:color w:val="000000"/>
          <w:sz w:val="20"/>
          <w:szCs w:val="20"/>
        </w:rPr>
        <w:t>Cooperation and Response</w:t>
      </w:r>
    </w:p>
    <w:p w14:paraId="6357CE02" w14:textId="77777777" w:rsidR="0095748B" w:rsidRDefault="00000000">
      <w:pPr>
        <w:numPr>
          <w:ilvl w:val="1"/>
          <w:numId w:val="2"/>
        </w:numPr>
        <w:pBdr>
          <w:top w:val="nil"/>
          <w:left w:val="nil"/>
          <w:bottom w:val="nil"/>
          <w:right w:val="nil"/>
          <w:between w:val="nil"/>
        </w:pBdr>
        <w:tabs>
          <w:tab w:val="left" w:pos="709"/>
        </w:tabs>
        <w:ind w:left="709" w:hanging="709"/>
        <w:jc w:val="both"/>
      </w:pPr>
      <w:r>
        <w:rPr>
          <w:rFonts w:ascii="Arial" w:eastAsia="Arial" w:hAnsi="Arial" w:cs="Arial"/>
          <w:color w:val="000000"/>
          <w:sz w:val="20"/>
          <w:szCs w:val="20"/>
        </w:rPr>
        <w:lastRenderedPageBreak/>
        <w:t xml:space="preserve">The Processor will notify the Controller promptly of any request or complaint regarding the processing of Personal Data, which adversely impacts the Controller, unless such notification is not permitted under applicable law or a relevant court order. </w:t>
      </w:r>
    </w:p>
    <w:p w14:paraId="3A87119F" w14:textId="77777777" w:rsidR="0095748B" w:rsidRDefault="00000000">
      <w:pPr>
        <w:numPr>
          <w:ilvl w:val="1"/>
          <w:numId w:val="2"/>
        </w:numPr>
        <w:pBdr>
          <w:top w:val="nil"/>
          <w:left w:val="nil"/>
          <w:bottom w:val="nil"/>
          <w:right w:val="nil"/>
          <w:between w:val="nil"/>
        </w:pBdr>
        <w:tabs>
          <w:tab w:val="left" w:pos="709"/>
        </w:tabs>
        <w:ind w:left="709" w:hanging="709"/>
        <w:jc w:val="both"/>
      </w:pPr>
      <w:r>
        <w:rPr>
          <w:rFonts w:ascii="Arial" w:eastAsia="Arial" w:hAnsi="Arial" w:cs="Arial"/>
          <w:color w:val="000000"/>
          <w:sz w:val="20"/>
          <w:szCs w:val="20"/>
        </w:rPr>
        <w:t xml:space="preserve">The Processor may make copies of and/or retain Personal Data in compliance with any legal or regulatory requirement including, but not limited to, retention requirements. </w:t>
      </w:r>
    </w:p>
    <w:p w14:paraId="6ABBDF78" w14:textId="77777777" w:rsidR="0095748B" w:rsidRDefault="00000000">
      <w:pPr>
        <w:numPr>
          <w:ilvl w:val="1"/>
          <w:numId w:val="2"/>
        </w:numPr>
        <w:pBdr>
          <w:top w:val="nil"/>
          <w:left w:val="nil"/>
          <w:bottom w:val="nil"/>
          <w:right w:val="nil"/>
          <w:between w:val="nil"/>
        </w:pBdr>
        <w:tabs>
          <w:tab w:val="left" w:pos="709"/>
        </w:tabs>
        <w:ind w:left="709" w:hanging="709"/>
        <w:jc w:val="both"/>
      </w:pPr>
      <w:r>
        <w:rPr>
          <w:rFonts w:ascii="Arial" w:eastAsia="Arial" w:hAnsi="Arial" w:cs="Arial"/>
          <w:color w:val="000000"/>
          <w:sz w:val="20"/>
          <w:szCs w:val="20"/>
        </w:rPr>
        <w:t>The Processor shall reasonably assist the Controller in meeting the Controller’s obligation to carry out data protection impact assessments (DPIAs), taking into account the nature of the processing and the information available to the Processor.</w:t>
      </w:r>
    </w:p>
    <w:p w14:paraId="4478EF36" w14:textId="77777777" w:rsidR="0095748B" w:rsidRDefault="00000000">
      <w:pPr>
        <w:numPr>
          <w:ilvl w:val="1"/>
          <w:numId w:val="2"/>
        </w:numPr>
        <w:pBdr>
          <w:top w:val="nil"/>
          <w:left w:val="nil"/>
          <w:bottom w:val="nil"/>
          <w:right w:val="nil"/>
          <w:between w:val="nil"/>
        </w:pBdr>
        <w:tabs>
          <w:tab w:val="left" w:pos="709"/>
        </w:tabs>
        <w:ind w:left="709" w:hanging="709"/>
        <w:jc w:val="both"/>
      </w:pPr>
      <w:r>
        <w:rPr>
          <w:rFonts w:ascii="Arial" w:eastAsia="Arial" w:hAnsi="Arial" w:cs="Arial"/>
          <w:color w:val="000000"/>
          <w:sz w:val="20"/>
          <w:szCs w:val="20"/>
        </w:rPr>
        <w:t>The Controller shall notify the Processor within a reasonable time, of any changes to applicable data protection laws, codes or regulations which may affect the contractual duties of the Processor. The Processor shall respond within a reasonable timeframe in respect of any changes that need to be made to the terms of this DPA or to the technical and organisational measures to maintain compliance. If the Processor is unable to accommodate necessary changes, the Controller may terminate the part or parts of the Services which give rise to the non-compliance. To the extent that other parts of the Services provided are not affected by such changes, the provision of those Services shall remain unaffected.</w:t>
      </w:r>
    </w:p>
    <w:p w14:paraId="6E7DC4AE" w14:textId="77777777" w:rsidR="0095748B" w:rsidRDefault="00000000">
      <w:pPr>
        <w:numPr>
          <w:ilvl w:val="1"/>
          <w:numId w:val="2"/>
        </w:numPr>
        <w:pBdr>
          <w:top w:val="nil"/>
          <w:left w:val="nil"/>
          <w:bottom w:val="nil"/>
          <w:right w:val="nil"/>
          <w:between w:val="nil"/>
        </w:pBdr>
        <w:tabs>
          <w:tab w:val="left" w:pos="709"/>
        </w:tabs>
        <w:ind w:left="709" w:hanging="709"/>
        <w:jc w:val="both"/>
      </w:pPr>
      <w:r>
        <w:rPr>
          <w:rFonts w:ascii="Arial" w:eastAsia="Arial" w:hAnsi="Arial" w:cs="Arial"/>
          <w:color w:val="000000"/>
          <w:sz w:val="20"/>
          <w:szCs w:val="20"/>
        </w:rPr>
        <w:t xml:space="preserve">The Controller and the Processor and, where applicable, their representatives, shall cooperate, on request, with a Supervisory Authority in the performance of their respective obligations under this DPA and Data Protection Law. </w:t>
      </w:r>
    </w:p>
    <w:p w14:paraId="69EF2DC9" w14:textId="77777777" w:rsidR="0095748B" w:rsidRDefault="00000000">
      <w:pPr>
        <w:numPr>
          <w:ilvl w:val="0"/>
          <w:numId w:val="2"/>
        </w:numPr>
        <w:pBdr>
          <w:top w:val="nil"/>
          <w:left w:val="nil"/>
          <w:bottom w:val="nil"/>
          <w:right w:val="nil"/>
          <w:between w:val="nil"/>
        </w:pBdr>
        <w:spacing w:line="276" w:lineRule="auto"/>
        <w:ind w:left="709" w:hanging="709"/>
        <w:jc w:val="both"/>
      </w:pPr>
      <w:r>
        <w:rPr>
          <w:rFonts w:ascii="Arial" w:eastAsia="Arial" w:hAnsi="Arial" w:cs="Arial"/>
          <w:b/>
          <w:color w:val="000000"/>
          <w:sz w:val="20"/>
          <w:szCs w:val="20"/>
        </w:rPr>
        <w:t>Liability</w:t>
      </w:r>
    </w:p>
    <w:p w14:paraId="17BC6B7D" w14:textId="77777777" w:rsidR="0095748B" w:rsidRDefault="00000000">
      <w:pPr>
        <w:numPr>
          <w:ilvl w:val="1"/>
          <w:numId w:val="2"/>
        </w:numPr>
        <w:pBdr>
          <w:top w:val="nil"/>
          <w:left w:val="nil"/>
          <w:bottom w:val="nil"/>
          <w:right w:val="nil"/>
          <w:between w:val="nil"/>
        </w:pBdr>
        <w:tabs>
          <w:tab w:val="left" w:pos="709"/>
        </w:tabs>
        <w:ind w:left="709" w:hanging="709"/>
        <w:jc w:val="both"/>
      </w:pPr>
      <w:r>
        <w:rPr>
          <w:rFonts w:ascii="Arial" w:eastAsia="Arial" w:hAnsi="Arial" w:cs="Arial"/>
          <w:color w:val="000000"/>
          <w:sz w:val="20"/>
          <w:szCs w:val="20"/>
        </w:rPr>
        <w:t xml:space="preserve">The limitations on liability set out in the Agreement apply to all claims made pursuant to any breach of the terms of this DPA. </w:t>
      </w:r>
    </w:p>
    <w:p w14:paraId="32744A5E" w14:textId="77777777" w:rsidR="0095748B" w:rsidRDefault="00000000">
      <w:pPr>
        <w:numPr>
          <w:ilvl w:val="1"/>
          <w:numId w:val="2"/>
        </w:numPr>
        <w:pBdr>
          <w:top w:val="nil"/>
          <w:left w:val="nil"/>
          <w:bottom w:val="nil"/>
          <w:right w:val="nil"/>
          <w:between w:val="nil"/>
        </w:pBdr>
        <w:tabs>
          <w:tab w:val="left" w:pos="709"/>
        </w:tabs>
        <w:ind w:left="709" w:hanging="709"/>
        <w:jc w:val="both"/>
      </w:pPr>
      <w:r>
        <w:rPr>
          <w:rFonts w:ascii="Arial" w:eastAsia="Arial" w:hAnsi="Arial" w:cs="Arial"/>
          <w:color w:val="000000"/>
          <w:sz w:val="20"/>
          <w:szCs w:val="20"/>
        </w:rPr>
        <w:t>The parties agree that the Processor shall be liable for any breaches of this DPA caused by the acts and omissions or negligence of its Sub-processors to the same extent the Processor would be liable if performing the services of each Sub-processor directly under the terms of the DPA, subject to any limitations on liability set out in the terms of the Agreement.</w:t>
      </w:r>
    </w:p>
    <w:p w14:paraId="3255B537" w14:textId="77777777" w:rsidR="0095748B" w:rsidRDefault="00000000">
      <w:pPr>
        <w:numPr>
          <w:ilvl w:val="1"/>
          <w:numId w:val="2"/>
        </w:numPr>
        <w:pBdr>
          <w:top w:val="nil"/>
          <w:left w:val="nil"/>
          <w:bottom w:val="nil"/>
          <w:right w:val="nil"/>
          <w:between w:val="nil"/>
        </w:pBdr>
        <w:tabs>
          <w:tab w:val="left" w:pos="709"/>
        </w:tabs>
        <w:ind w:left="709" w:hanging="709"/>
        <w:jc w:val="both"/>
      </w:pPr>
      <w:r>
        <w:rPr>
          <w:rFonts w:ascii="Arial" w:eastAsia="Arial" w:hAnsi="Arial" w:cs="Arial"/>
          <w:color w:val="000000"/>
          <w:sz w:val="20"/>
          <w:szCs w:val="20"/>
        </w:rPr>
        <w:t>The parties agree that the Controller shall be liable for any breaches of this DPA caused by the acts and omissions or negligence of its Affiliates as if such acts, omissions or negligence had been committed by the Controller itself.</w:t>
      </w:r>
    </w:p>
    <w:p w14:paraId="1D15DA3F" w14:textId="77777777" w:rsidR="0095748B" w:rsidRDefault="00000000">
      <w:pPr>
        <w:numPr>
          <w:ilvl w:val="1"/>
          <w:numId w:val="2"/>
        </w:numPr>
        <w:pBdr>
          <w:top w:val="nil"/>
          <w:left w:val="nil"/>
          <w:bottom w:val="nil"/>
          <w:right w:val="nil"/>
          <w:between w:val="nil"/>
        </w:pBdr>
        <w:tabs>
          <w:tab w:val="left" w:pos="709"/>
        </w:tabs>
        <w:ind w:left="709" w:hanging="709"/>
        <w:jc w:val="both"/>
      </w:pPr>
      <w:r>
        <w:rPr>
          <w:rFonts w:ascii="Arial" w:eastAsia="Arial" w:hAnsi="Arial" w:cs="Arial"/>
          <w:color w:val="000000"/>
          <w:sz w:val="20"/>
          <w:szCs w:val="20"/>
        </w:rPr>
        <w:t>The Controller shall not be entitled to recover more than once in respect of the same loss.</w:t>
      </w:r>
    </w:p>
    <w:p w14:paraId="6A625F80" w14:textId="77777777" w:rsidR="0095748B" w:rsidRDefault="00000000">
      <w:pPr>
        <w:numPr>
          <w:ilvl w:val="0"/>
          <w:numId w:val="2"/>
        </w:numPr>
        <w:pBdr>
          <w:top w:val="nil"/>
          <w:left w:val="nil"/>
          <w:bottom w:val="nil"/>
          <w:right w:val="nil"/>
          <w:between w:val="nil"/>
        </w:pBdr>
        <w:spacing w:line="276" w:lineRule="auto"/>
        <w:ind w:left="709" w:hanging="709"/>
        <w:jc w:val="both"/>
      </w:pPr>
      <w:r>
        <w:rPr>
          <w:rFonts w:ascii="Arial" w:eastAsia="Arial" w:hAnsi="Arial" w:cs="Arial"/>
          <w:b/>
          <w:color w:val="000000"/>
          <w:sz w:val="20"/>
          <w:szCs w:val="20"/>
        </w:rPr>
        <w:t>Term and Termination</w:t>
      </w:r>
      <w:r>
        <w:rPr>
          <w:rFonts w:ascii="Arial" w:eastAsia="Arial" w:hAnsi="Arial" w:cs="Arial"/>
          <w:color w:val="000000"/>
          <w:sz w:val="20"/>
          <w:szCs w:val="20"/>
        </w:rPr>
        <w:t xml:space="preserve"> </w:t>
      </w:r>
    </w:p>
    <w:p w14:paraId="5AF6AFAE" w14:textId="77777777" w:rsidR="0095748B" w:rsidRDefault="00000000">
      <w:pPr>
        <w:numPr>
          <w:ilvl w:val="1"/>
          <w:numId w:val="2"/>
        </w:numPr>
        <w:pBdr>
          <w:top w:val="nil"/>
          <w:left w:val="nil"/>
          <w:bottom w:val="nil"/>
          <w:right w:val="nil"/>
          <w:between w:val="nil"/>
        </w:pBdr>
        <w:tabs>
          <w:tab w:val="left" w:pos="709"/>
        </w:tabs>
        <w:ind w:left="709" w:hanging="709"/>
        <w:jc w:val="both"/>
      </w:pPr>
      <w:r>
        <w:rPr>
          <w:rFonts w:ascii="Arial" w:eastAsia="Arial" w:hAnsi="Arial" w:cs="Arial"/>
          <w:color w:val="000000"/>
          <w:sz w:val="20"/>
          <w:szCs w:val="20"/>
        </w:rPr>
        <w:t>The Processor will only process Personal Data for the term of the DPA. The term of this DPA shall coincide with the commencement of the Agreement and this DPA shall terminate automatically together with termination or expiry of the Agreement.</w:t>
      </w:r>
    </w:p>
    <w:p w14:paraId="44BE7B8E" w14:textId="77777777" w:rsidR="0095748B" w:rsidRDefault="00000000">
      <w:pPr>
        <w:numPr>
          <w:ilvl w:val="0"/>
          <w:numId w:val="2"/>
        </w:numPr>
        <w:pBdr>
          <w:top w:val="nil"/>
          <w:left w:val="nil"/>
          <w:bottom w:val="nil"/>
          <w:right w:val="nil"/>
          <w:between w:val="nil"/>
        </w:pBdr>
        <w:spacing w:line="276" w:lineRule="auto"/>
        <w:ind w:left="709" w:hanging="709"/>
        <w:jc w:val="both"/>
      </w:pPr>
      <w:r>
        <w:rPr>
          <w:rFonts w:ascii="Arial" w:eastAsia="Arial" w:hAnsi="Arial" w:cs="Arial"/>
          <w:b/>
          <w:color w:val="000000"/>
          <w:sz w:val="20"/>
          <w:szCs w:val="20"/>
        </w:rPr>
        <w:t>Deletion and Return of Personal Data</w:t>
      </w:r>
    </w:p>
    <w:p w14:paraId="5A96CC27" w14:textId="77777777" w:rsidR="0095748B" w:rsidRDefault="00000000">
      <w:pPr>
        <w:numPr>
          <w:ilvl w:val="1"/>
          <w:numId w:val="2"/>
        </w:numPr>
        <w:pBdr>
          <w:top w:val="nil"/>
          <w:left w:val="nil"/>
          <w:bottom w:val="nil"/>
          <w:right w:val="nil"/>
          <w:between w:val="nil"/>
        </w:pBdr>
        <w:tabs>
          <w:tab w:val="left" w:pos="709"/>
        </w:tabs>
        <w:ind w:left="709" w:hanging="709"/>
        <w:jc w:val="both"/>
      </w:pPr>
      <w:r>
        <w:rPr>
          <w:rFonts w:ascii="Arial" w:eastAsia="Arial" w:hAnsi="Arial" w:cs="Arial"/>
          <w:color w:val="000000"/>
          <w:sz w:val="20"/>
          <w:szCs w:val="20"/>
        </w:rPr>
        <w:t>The Processor shall at the choice of the Controller, upon receipt of a written request received within 30 days of the end of the provision of the Services, delete or return Personal Data to the Controller. The Processor shall in any event delete</w:t>
      </w:r>
      <w:r>
        <w:rPr>
          <w:rFonts w:ascii="Times" w:eastAsia="Times" w:hAnsi="Times" w:cs="Times"/>
          <w:color w:val="000000"/>
          <w:sz w:val="26"/>
          <w:szCs w:val="26"/>
        </w:rPr>
        <w:t xml:space="preserve"> </w:t>
      </w:r>
      <w:r>
        <w:rPr>
          <w:rFonts w:ascii="Arial" w:eastAsia="Arial" w:hAnsi="Arial" w:cs="Arial"/>
          <w:color w:val="000000"/>
          <w:sz w:val="20"/>
          <w:szCs w:val="20"/>
        </w:rPr>
        <w:t>all copies of Personal Data in its systems within 6 months of the effective date of termination of the Agreement unless: (i) applicable law or regulations require storage of the Personal Data after termination; or (ii) partial Personal Data of the Controller is stored in backups, then such Personal Data shall be deleted from backups up to 1 year after the effective date of termination of the Agreement.</w:t>
      </w:r>
    </w:p>
    <w:p w14:paraId="6622DEA4" w14:textId="77777777" w:rsidR="0095748B" w:rsidRDefault="00000000">
      <w:pPr>
        <w:numPr>
          <w:ilvl w:val="0"/>
          <w:numId w:val="2"/>
        </w:numPr>
        <w:pBdr>
          <w:top w:val="nil"/>
          <w:left w:val="nil"/>
          <w:bottom w:val="nil"/>
          <w:right w:val="nil"/>
          <w:between w:val="nil"/>
        </w:pBdr>
        <w:spacing w:line="276" w:lineRule="auto"/>
        <w:ind w:left="709" w:hanging="709"/>
        <w:jc w:val="both"/>
      </w:pPr>
      <w:r>
        <w:rPr>
          <w:rFonts w:ascii="Arial" w:eastAsia="Arial" w:hAnsi="Arial" w:cs="Arial"/>
          <w:b/>
          <w:color w:val="000000"/>
          <w:sz w:val="20"/>
          <w:szCs w:val="20"/>
        </w:rPr>
        <w:t>General</w:t>
      </w:r>
    </w:p>
    <w:p w14:paraId="62C417B0" w14:textId="77777777" w:rsidR="0095748B" w:rsidRDefault="00000000">
      <w:pPr>
        <w:numPr>
          <w:ilvl w:val="1"/>
          <w:numId w:val="2"/>
        </w:numPr>
        <w:pBdr>
          <w:top w:val="nil"/>
          <w:left w:val="nil"/>
          <w:bottom w:val="nil"/>
          <w:right w:val="nil"/>
          <w:between w:val="nil"/>
        </w:pBdr>
        <w:tabs>
          <w:tab w:val="left" w:pos="709"/>
        </w:tabs>
        <w:ind w:left="709" w:hanging="709"/>
        <w:jc w:val="both"/>
      </w:pPr>
      <w:r>
        <w:rPr>
          <w:rFonts w:ascii="Arial" w:eastAsia="Arial" w:hAnsi="Arial" w:cs="Arial"/>
          <w:color w:val="000000"/>
          <w:sz w:val="20"/>
          <w:szCs w:val="20"/>
        </w:rPr>
        <w:t>This DPA sets out the entire understanding of the parties with regards to the subject matter herein.</w:t>
      </w:r>
    </w:p>
    <w:p w14:paraId="17CD9A2D" w14:textId="77777777" w:rsidR="0095748B" w:rsidRDefault="00000000">
      <w:pPr>
        <w:numPr>
          <w:ilvl w:val="1"/>
          <w:numId w:val="2"/>
        </w:numPr>
        <w:pBdr>
          <w:top w:val="nil"/>
          <w:left w:val="nil"/>
          <w:bottom w:val="nil"/>
          <w:right w:val="nil"/>
          <w:between w:val="nil"/>
        </w:pBdr>
        <w:tabs>
          <w:tab w:val="left" w:pos="709"/>
        </w:tabs>
        <w:ind w:left="709" w:hanging="709"/>
        <w:jc w:val="both"/>
      </w:pPr>
      <w:r>
        <w:rPr>
          <w:rFonts w:ascii="Arial" w:eastAsia="Arial" w:hAnsi="Arial" w:cs="Arial"/>
          <w:color w:val="000000"/>
          <w:sz w:val="20"/>
          <w:szCs w:val="20"/>
        </w:rPr>
        <w:t>Should a provision of this DPA be invalid or become invalid then the legal effect of the other provisions shall be unaffected. A valid provision is deemed to have been agreed which comes closest to what the parties intended commercially and shall replace the invalid provision. The same shall apply to any omissions.</w:t>
      </w:r>
    </w:p>
    <w:p w14:paraId="45A05EA7" w14:textId="77777777" w:rsidR="0095748B" w:rsidRDefault="00000000">
      <w:pPr>
        <w:numPr>
          <w:ilvl w:val="1"/>
          <w:numId w:val="2"/>
        </w:numPr>
        <w:pBdr>
          <w:top w:val="nil"/>
          <w:left w:val="nil"/>
          <w:bottom w:val="nil"/>
          <w:right w:val="nil"/>
          <w:between w:val="nil"/>
        </w:pBdr>
        <w:tabs>
          <w:tab w:val="left" w:pos="709"/>
        </w:tabs>
        <w:ind w:left="709" w:hanging="709"/>
        <w:jc w:val="both"/>
      </w:pPr>
      <w:r>
        <w:rPr>
          <w:rFonts w:ascii="Arial" w:eastAsia="Arial" w:hAnsi="Arial" w:cs="Arial"/>
          <w:color w:val="000000"/>
          <w:sz w:val="20"/>
          <w:szCs w:val="20"/>
        </w:rPr>
        <w:t>Subject to any provision of the SCCs to the contrary, this DPA shall be governed by the laws of England and Wales. The courts of England shall have exclusive jurisdiction for the settlement of all disputes arising under this DPA.</w:t>
      </w:r>
    </w:p>
    <w:p w14:paraId="345C1040" w14:textId="77777777" w:rsidR="0095748B" w:rsidRDefault="00000000">
      <w:pPr>
        <w:numPr>
          <w:ilvl w:val="1"/>
          <w:numId w:val="2"/>
        </w:numPr>
        <w:pBdr>
          <w:top w:val="nil"/>
          <w:left w:val="nil"/>
          <w:bottom w:val="nil"/>
          <w:right w:val="nil"/>
          <w:between w:val="nil"/>
        </w:pBdr>
        <w:tabs>
          <w:tab w:val="left" w:pos="709"/>
        </w:tabs>
        <w:spacing w:after="120"/>
        <w:ind w:left="709" w:hanging="709"/>
        <w:jc w:val="both"/>
        <w:rPr>
          <w:rFonts w:ascii="Calibri" w:eastAsia="Calibri" w:hAnsi="Calibri" w:cs="Calibri"/>
          <w:color w:val="000000"/>
          <w:sz w:val="22"/>
          <w:szCs w:val="22"/>
        </w:rPr>
        <w:sectPr w:rsidR="0095748B">
          <w:headerReference w:type="even" r:id="rId10"/>
          <w:headerReference w:type="default" r:id="rId11"/>
          <w:footerReference w:type="even" r:id="rId12"/>
          <w:footerReference w:type="default" r:id="rId13"/>
          <w:headerReference w:type="first" r:id="rId14"/>
          <w:footerReference w:type="first" r:id="rId15"/>
          <w:pgSz w:w="11906" w:h="16838"/>
          <w:pgMar w:top="1247" w:right="1418" w:bottom="1134" w:left="1418" w:header="709" w:footer="709" w:gutter="0"/>
          <w:pgNumType w:start="1"/>
          <w:cols w:space="720"/>
        </w:sectPr>
      </w:pPr>
      <w:r>
        <w:rPr>
          <w:rFonts w:ascii="Arial" w:eastAsia="Arial" w:hAnsi="Arial" w:cs="Arial"/>
          <w:color w:val="000000"/>
          <w:sz w:val="20"/>
          <w:szCs w:val="20"/>
        </w:rPr>
        <w:t>The parties agree that this DPA is incorporated into and governed by the terms of the Agreement.</w:t>
      </w:r>
    </w:p>
    <w:p w14:paraId="4AE82A16" w14:textId="77777777" w:rsidR="0095748B" w:rsidRDefault="0095748B">
      <w:pPr>
        <w:widowControl w:val="0"/>
        <w:spacing w:after="240"/>
        <w:jc w:val="both"/>
        <w:rPr>
          <w:rFonts w:ascii="Arial" w:eastAsia="Arial" w:hAnsi="Arial" w:cs="Arial"/>
          <w:sz w:val="20"/>
          <w:szCs w:val="20"/>
        </w:rPr>
      </w:pPr>
    </w:p>
    <w:p w14:paraId="47A368BB" w14:textId="77777777" w:rsidR="0095748B" w:rsidRDefault="0095748B">
      <w:pPr>
        <w:spacing w:after="120"/>
        <w:jc w:val="center"/>
        <w:rPr>
          <w:rFonts w:ascii="Arial" w:eastAsia="Arial" w:hAnsi="Arial" w:cs="Arial"/>
          <w:b/>
          <w:sz w:val="20"/>
          <w:szCs w:val="20"/>
          <w:u w:val="single"/>
        </w:rPr>
      </w:pPr>
    </w:p>
    <w:p w14:paraId="62F5A67F" w14:textId="77777777" w:rsidR="0095748B" w:rsidRDefault="00000000">
      <w:pPr>
        <w:spacing w:after="120"/>
        <w:jc w:val="center"/>
      </w:pPr>
      <w:r>
        <w:rPr>
          <w:rFonts w:ascii="Arial" w:eastAsia="Arial" w:hAnsi="Arial" w:cs="Arial"/>
          <w:b/>
          <w:sz w:val="20"/>
          <w:szCs w:val="20"/>
          <w:u w:val="single"/>
        </w:rPr>
        <w:t>Exhibit A</w:t>
      </w:r>
    </w:p>
    <w:p w14:paraId="05014ACE" w14:textId="77777777" w:rsidR="0095748B" w:rsidRDefault="00000000">
      <w:pPr>
        <w:spacing w:after="260" w:line="288" w:lineRule="auto"/>
        <w:jc w:val="center"/>
      </w:pPr>
      <w:r>
        <w:rPr>
          <w:rFonts w:ascii="Arial" w:eastAsia="Arial" w:hAnsi="Arial" w:cs="Arial"/>
          <w:b/>
          <w:sz w:val="20"/>
          <w:szCs w:val="20"/>
        </w:rPr>
        <w:t>List of Parties, Description of Processing and Transfer of Personal Data, Competent Supervisory Authority</w:t>
      </w:r>
    </w:p>
    <w:p w14:paraId="1D9F6D32"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b/>
          <w:color w:val="000000"/>
          <w:sz w:val="20"/>
          <w:szCs w:val="20"/>
        </w:rPr>
        <w:t>A.</w:t>
      </w:r>
      <w:r>
        <w:rPr>
          <w:rFonts w:ascii="Arial" w:eastAsia="Arial" w:hAnsi="Arial" w:cs="Arial"/>
          <w:b/>
          <w:color w:val="000000"/>
          <w:sz w:val="20"/>
          <w:szCs w:val="20"/>
        </w:rPr>
        <w:tab/>
        <w:t>LIST OF PARTIES</w:t>
      </w:r>
    </w:p>
    <w:p w14:paraId="082CDF06"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b/>
          <w:color w:val="000000"/>
          <w:sz w:val="20"/>
          <w:szCs w:val="20"/>
        </w:rPr>
        <w:t xml:space="preserve">The Exporter: </w:t>
      </w:r>
    </w:p>
    <w:tbl>
      <w:tblPr>
        <w:tblStyle w:val="a0"/>
        <w:tblW w:w="9218" w:type="dxa"/>
        <w:tblInd w:w="-6" w:type="dxa"/>
        <w:tblLayout w:type="fixed"/>
        <w:tblLook w:val="0000" w:firstRow="0" w:lastRow="0" w:firstColumn="0" w:lastColumn="0" w:noHBand="0" w:noVBand="0"/>
      </w:tblPr>
      <w:tblGrid>
        <w:gridCol w:w="3130"/>
        <w:gridCol w:w="6088"/>
      </w:tblGrid>
      <w:tr w:rsidR="0095748B" w14:paraId="61C73DE6" w14:textId="77777777">
        <w:tc>
          <w:tcPr>
            <w:tcW w:w="9218" w:type="dxa"/>
            <w:gridSpan w:val="2"/>
            <w:tcBorders>
              <w:top w:val="single" w:sz="4" w:space="0" w:color="000000"/>
              <w:left w:val="single" w:sz="4" w:space="0" w:color="000000"/>
              <w:bottom w:val="single" w:sz="4" w:space="0" w:color="000000"/>
              <w:right w:val="single" w:sz="4" w:space="0" w:color="000000"/>
            </w:tcBorders>
          </w:tcPr>
          <w:p w14:paraId="3C74A413"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means the Customer.</w:t>
            </w:r>
          </w:p>
        </w:tc>
      </w:tr>
      <w:tr w:rsidR="0095748B" w14:paraId="1FC31563" w14:textId="77777777">
        <w:tc>
          <w:tcPr>
            <w:tcW w:w="3130" w:type="dxa"/>
            <w:tcBorders>
              <w:top w:val="single" w:sz="4" w:space="0" w:color="000000"/>
              <w:left w:val="single" w:sz="4" w:space="0" w:color="000000"/>
              <w:bottom w:val="single" w:sz="4" w:space="0" w:color="000000"/>
            </w:tcBorders>
          </w:tcPr>
          <w:p w14:paraId="339E87F5" w14:textId="77777777" w:rsidR="0095748B" w:rsidRDefault="00000000">
            <w:pPr>
              <w:pBdr>
                <w:top w:val="nil"/>
                <w:left w:val="nil"/>
                <w:bottom w:val="nil"/>
                <w:right w:val="nil"/>
                <w:between w:val="nil"/>
              </w:pBdr>
              <w:spacing w:before="240" w:after="240"/>
              <w:rPr>
                <w:rFonts w:ascii="Arial" w:eastAsia="Arial" w:hAnsi="Arial" w:cs="Arial"/>
                <w:color w:val="000000"/>
                <w:sz w:val="20"/>
                <w:szCs w:val="20"/>
              </w:rPr>
            </w:pPr>
            <w:r>
              <w:rPr>
                <w:rFonts w:ascii="Arial" w:eastAsia="Arial" w:hAnsi="Arial" w:cs="Arial"/>
                <w:b/>
                <w:color w:val="44546A"/>
                <w:sz w:val="20"/>
                <w:szCs w:val="20"/>
              </w:rPr>
              <w:t>Address:</w:t>
            </w:r>
          </w:p>
        </w:tc>
        <w:tc>
          <w:tcPr>
            <w:tcW w:w="6088" w:type="dxa"/>
            <w:tcBorders>
              <w:top w:val="single" w:sz="4" w:space="0" w:color="000000"/>
              <w:left w:val="single" w:sz="4" w:space="0" w:color="000000"/>
              <w:bottom w:val="single" w:sz="4" w:space="0" w:color="000000"/>
              <w:right w:val="single" w:sz="4" w:space="0" w:color="000000"/>
            </w:tcBorders>
          </w:tcPr>
          <w:p w14:paraId="63D28EF4"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As set out for the Customer in the Agreement.</w:t>
            </w:r>
          </w:p>
        </w:tc>
      </w:tr>
      <w:tr w:rsidR="0095748B" w14:paraId="0EE8BE94" w14:textId="77777777">
        <w:tc>
          <w:tcPr>
            <w:tcW w:w="3130" w:type="dxa"/>
            <w:tcBorders>
              <w:top w:val="single" w:sz="4" w:space="0" w:color="000000"/>
              <w:left w:val="single" w:sz="4" w:space="0" w:color="000000"/>
              <w:bottom w:val="single" w:sz="4" w:space="0" w:color="000000"/>
            </w:tcBorders>
          </w:tcPr>
          <w:p w14:paraId="1A183C47" w14:textId="77777777" w:rsidR="0095748B" w:rsidRDefault="00000000">
            <w:pPr>
              <w:pBdr>
                <w:top w:val="nil"/>
                <w:left w:val="nil"/>
                <w:bottom w:val="nil"/>
                <w:right w:val="nil"/>
                <w:between w:val="nil"/>
              </w:pBdr>
              <w:spacing w:before="240" w:after="240"/>
              <w:rPr>
                <w:rFonts w:ascii="Arial" w:eastAsia="Arial" w:hAnsi="Arial" w:cs="Arial"/>
                <w:color w:val="000000"/>
                <w:sz w:val="20"/>
                <w:szCs w:val="20"/>
              </w:rPr>
            </w:pPr>
            <w:r>
              <w:rPr>
                <w:rFonts w:ascii="Arial" w:eastAsia="Arial" w:hAnsi="Arial" w:cs="Arial"/>
                <w:b/>
                <w:color w:val="44546A"/>
                <w:sz w:val="20"/>
                <w:szCs w:val="20"/>
              </w:rPr>
              <w:t>Contact person’s name, position and contact details:</w:t>
            </w:r>
          </w:p>
        </w:tc>
        <w:tc>
          <w:tcPr>
            <w:tcW w:w="6088" w:type="dxa"/>
            <w:tcBorders>
              <w:top w:val="single" w:sz="4" w:space="0" w:color="000000"/>
              <w:left w:val="single" w:sz="4" w:space="0" w:color="000000"/>
              <w:bottom w:val="single" w:sz="4" w:space="0" w:color="000000"/>
              <w:right w:val="single" w:sz="4" w:space="0" w:color="000000"/>
            </w:tcBorders>
          </w:tcPr>
          <w:p w14:paraId="2ECD23F2"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As provided by the Customer in its account and used for notification and invoicing purposes.</w:t>
            </w:r>
          </w:p>
        </w:tc>
      </w:tr>
      <w:tr w:rsidR="0095748B" w14:paraId="1DC66F5A" w14:textId="77777777">
        <w:tc>
          <w:tcPr>
            <w:tcW w:w="3130" w:type="dxa"/>
            <w:tcBorders>
              <w:top w:val="single" w:sz="4" w:space="0" w:color="000000"/>
              <w:left w:val="single" w:sz="4" w:space="0" w:color="000000"/>
              <w:bottom w:val="single" w:sz="4" w:space="0" w:color="000000"/>
            </w:tcBorders>
          </w:tcPr>
          <w:p w14:paraId="11E3E812" w14:textId="77777777" w:rsidR="0095748B" w:rsidRDefault="00000000">
            <w:pPr>
              <w:pBdr>
                <w:top w:val="nil"/>
                <w:left w:val="nil"/>
                <w:bottom w:val="nil"/>
                <w:right w:val="nil"/>
                <w:between w:val="nil"/>
              </w:pBdr>
              <w:spacing w:before="240" w:after="240"/>
              <w:rPr>
                <w:rFonts w:ascii="Arial" w:eastAsia="Arial" w:hAnsi="Arial" w:cs="Arial"/>
                <w:color w:val="000000"/>
                <w:sz w:val="20"/>
                <w:szCs w:val="20"/>
              </w:rPr>
            </w:pPr>
            <w:r>
              <w:rPr>
                <w:rFonts w:ascii="Arial" w:eastAsia="Arial" w:hAnsi="Arial" w:cs="Arial"/>
                <w:b/>
                <w:color w:val="44546A"/>
                <w:sz w:val="20"/>
                <w:szCs w:val="20"/>
              </w:rPr>
              <w:t>Activities relevant to the data transferred under the SCCs:</w:t>
            </w:r>
          </w:p>
        </w:tc>
        <w:tc>
          <w:tcPr>
            <w:tcW w:w="6088" w:type="dxa"/>
            <w:tcBorders>
              <w:top w:val="single" w:sz="4" w:space="0" w:color="000000"/>
              <w:left w:val="single" w:sz="4" w:space="0" w:color="000000"/>
              <w:bottom w:val="single" w:sz="4" w:space="0" w:color="000000"/>
              <w:right w:val="single" w:sz="4" w:space="0" w:color="000000"/>
            </w:tcBorders>
          </w:tcPr>
          <w:p w14:paraId="6F4AA5C5"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Use of the Services.</w:t>
            </w:r>
          </w:p>
        </w:tc>
      </w:tr>
      <w:tr w:rsidR="0095748B" w14:paraId="51B37160" w14:textId="77777777">
        <w:tc>
          <w:tcPr>
            <w:tcW w:w="3130" w:type="dxa"/>
            <w:tcBorders>
              <w:top w:val="single" w:sz="4" w:space="0" w:color="000000"/>
              <w:left w:val="single" w:sz="4" w:space="0" w:color="000000"/>
              <w:bottom w:val="single" w:sz="4" w:space="0" w:color="000000"/>
            </w:tcBorders>
          </w:tcPr>
          <w:p w14:paraId="60AAA20A" w14:textId="77777777" w:rsidR="0095748B" w:rsidRDefault="00000000">
            <w:pPr>
              <w:pBdr>
                <w:top w:val="nil"/>
                <w:left w:val="nil"/>
                <w:bottom w:val="nil"/>
                <w:right w:val="nil"/>
                <w:between w:val="nil"/>
              </w:pBdr>
              <w:spacing w:before="240" w:after="240"/>
              <w:rPr>
                <w:rFonts w:ascii="Arial" w:eastAsia="Arial" w:hAnsi="Arial" w:cs="Arial"/>
                <w:color w:val="000000"/>
                <w:sz w:val="20"/>
                <w:szCs w:val="20"/>
              </w:rPr>
            </w:pPr>
            <w:r>
              <w:rPr>
                <w:rFonts w:ascii="Arial" w:eastAsia="Arial" w:hAnsi="Arial" w:cs="Arial"/>
                <w:b/>
                <w:color w:val="44546A"/>
                <w:sz w:val="20"/>
                <w:szCs w:val="20"/>
              </w:rPr>
              <w:t>Signature and date:</w:t>
            </w:r>
          </w:p>
        </w:tc>
        <w:tc>
          <w:tcPr>
            <w:tcW w:w="6088" w:type="dxa"/>
            <w:tcBorders>
              <w:top w:val="single" w:sz="4" w:space="0" w:color="000000"/>
              <w:left w:val="single" w:sz="4" w:space="0" w:color="000000"/>
              <w:bottom w:val="single" w:sz="4" w:space="0" w:color="000000"/>
              <w:right w:val="single" w:sz="4" w:space="0" w:color="000000"/>
            </w:tcBorders>
          </w:tcPr>
          <w:p w14:paraId="0D174B61"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By entering into the Agreement, the Controller is deemed to have signed the SCCs incorporated into this DPA and including their Annexes, as of the Effective Date of the Agreement.</w:t>
            </w:r>
          </w:p>
        </w:tc>
      </w:tr>
      <w:tr w:rsidR="0095748B" w14:paraId="6C076244" w14:textId="77777777">
        <w:tc>
          <w:tcPr>
            <w:tcW w:w="3130" w:type="dxa"/>
            <w:tcBorders>
              <w:top w:val="single" w:sz="4" w:space="0" w:color="000000"/>
              <w:left w:val="single" w:sz="4" w:space="0" w:color="000000"/>
              <w:bottom w:val="single" w:sz="4" w:space="0" w:color="000000"/>
            </w:tcBorders>
          </w:tcPr>
          <w:p w14:paraId="6C113EFF" w14:textId="77777777" w:rsidR="0095748B" w:rsidRDefault="00000000">
            <w:pPr>
              <w:pBdr>
                <w:top w:val="nil"/>
                <w:left w:val="nil"/>
                <w:bottom w:val="nil"/>
                <w:right w:val="nil"/>
                <w:between w:val="nil"/>
              </w:pBdr>
              <w:spacing w:before="240" w:after="240"/>
              <w:rPr>
                <w:rFonts w:ascii="Arial" w:eastAsia="Arial" w:hAnsi="Arial" w:cs="Arial"/>
                <w:color w:val="000000"/>
                <w:sz w:val="20"/>
                <w:szCs w:val="20"/>
              </w:rPr>
            </w:pPr>
            <w:r>
              <w:rPr>
                <w:rFonts w:ascii="Arial" w:eastAsia="Arial" w:hAnsi="Arial" w:cs="Arial"/>
                <w:b/>
                <w:color w:val="44546A"/>
                <w:sz w:val="20"/>
                <w:szCs w:val="20"/>
              </w:rPr>
              <w:t>Role:</w:t>
            </w:r>
          </w:p>
        </w:tc>
        <w:tc>
          <w:tcPr>
            <w:tcW w:w="6088" w:type="dxa"/>
            <w:tcBorders>
              <w:top w:val="single" w:sz="4" w:space="0" w:color="000000"/>
              <w:left w:val="single" w:sz="4" w:space="0" w:color="000000"/>
              <w:bottom w:val="single" w:sz="4" w:space="0" w:color="000000"/>
              <w:right w:val="single" w:sz="4" w:space="0" w:color="000000"/>
            </w:tcBorders>
          </w:tcPr>
          <w:p w14:paraId="6CAAB5A5"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Controller.</w:t>
            </w:r>
          </w:p>
        </w:tc>
      </w:tr>
      <w:tr w:rsidR="0095748B" w14:paraId="2D57D1D8" w14:textId="77777777">
        <w:tc>
          <w:tcPr>
            <w:tcW w:w="3130" w:type="dxa"/>
            <w:tcBorders>
              <w:top w:val="single" w:sz="4" w:space="0" w:color="000000"/>
              <w:left w:val="single" w:sz="4" w:space="0" w:color="000000"/>
              <w:bottom w:val="single" w:sz="4" w:space="0" w:color="000000"/>
            </w:tcBorders>
          </w:tcPr>
          <w:p w14:paraId="7251B71F" w14:textId="77777777" w:rsidR="0095748B" w:rsidRDefault="00000000">
            <w:pPr>
              <w:pBdr>
                <w:top w:val="nil"/>
                <w:left w:val="nil"/>
                <w:bottom w:val="nil"/>
                <w:right w:val="nil"/>
                <w:between w:val="nil"/>
              </w:pBdr>
              <w:spacing w:before="240" w:after="240"/>
              <w:rPr>
                <w:rFonts w:ascii="Arial" w:eastAsia="Arial" w:hAnsi="Arial" w:cs="Arial"/>
                <w:color w:val="000000"/>
                <w:sz w:val="20"/>
                <w:szCs w:val="20"/>
              </w:rPr>
            </w:pPr>
            <w:r>
              <w:rPr>
                <w:rFonts w:ascii="Arial" w:eastAsia="Arial" w:hAnsi="Arial" w:cs="Arial"/>
                <w:b/>
                <w:color w:val="44546A"/>
                <w:sz w:val="20"/>
                <w:szCs w:val="20"/>
              </w:rPr>
              <w:t>Name of Representative (if applicable):</w:t>
            </w:r>
          </w:p>
        </w:tc>
        <w:tc>
          <w:tcPr>
            <w:tcW w:w="6088" w:type="dxa"/>
            <w:tcBorders>
              <w:top w:val="single" w:sz="4" w:space="0" w:color="000000"/>
              <w:left w:val="single" w:sz="4" w:space="0" w:color="000000"/>
              <w:bottom w:val="single" w:sz="4" w:space="0" w:color="000000"/>
              <w:right w:val="single" w:sz="4" w:space="0" w:color="000000"/>
            </w:tcBorders>
          </w:tcPr>
          <w:p w14:paraId="43EB1A2C"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Any UK or EU representative named in the Controller’s privacy policy.</w:t>
            </w:r>
          </w:p>
        </w:tc>
      </w:tr>
    </w:tbl>
    <w:p w14:paraId="1D1A065D" w14:textId="77777777" w:rsidR="0095748B" w:rsidRDefault="0095748B">
      <w:pPr>
        <w:pBdr>
          <w:top w:val="nil"/>
          <w:left w:val="nil"/>
          <w:bottom w:val="nil"/>
          <w:right w:val="nil"/>
          <w:between w:val="nil"/>
        </w:pBdr>
        <w:spacing w:before="240" w:after="240"/>
        <w:jc w:val="both"/>
        <w:rPr>
          <w:rFonts w:ascii="Arial" w:eastAsia="Arial" w:hAnsi="Arial" w:cs="Arial"/>
          <w:color w:val="000000"/>
          <w:sz w:val="20"/>
          <w:szCs w:val="20"/>
        </w:rPr>
      </w:pPr>
    </w:p>
    <w:p w14:paraId="0A72EEC9"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b/>
          <w:color w:val="000000"/>
          <w:sz w:val="20"/>
          <w:szCs w:val="20"/>
        </w:rPr>
        <w:t xml:space="preserve">The Importer: </w:t>
      </w:r>
    </w:p>
    <w:tbl>
      <w:tblPr>
        <w:tblStyle w:val="a1"/>
        <w:tblW w:w="9326" w:type="dxa"/>
        <w:tblInd w:w="-135" w:type="dxa"/>
        <w:tblLayout w:type="fixed"/>
        <w:tblLook w:val="0000" w:firstRow="0" w:lastRow="0" w:firstColumn="0" w:lastColumn="0" w:noHBand="0" w:noVBand="0"/>
      </w:tblPr>
      <w:tblGrid>
        <w:gridCol w:w="3240"/>
        <w:gridCol w:w="6086"/>
      </w:tblGrid>
      <w:tr w:rsidR="0095748B" w14:paraId="76D54A66" w14:textId="77777777">
        <w:tc>
          <w:tcPr>
            <w:tcW w:w="9326" w:type="dxa"/>
            <w:gridSpan w:val="2"/>
            <w:tcBorders>
              <w:top w:val="single" w:sz="4" w:space="0" w:color="000000"/>
              <w:left w:val="single" w:sz="4" w:space="0" w:color="000000"/>
              <w:bottom w:val="single" w:sz="4" w:space="0" w:color="000000"/>
              <w:right w:val="single" w:sz="4" w:space="0" w:color="000000"/>
            </w:tcBorders>
          </w:tcPr>
          <w:p w14:paraId="763F560E"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rPr>
              <w:t>means the Silktide Entity that is party to the Agreement. The applicable entry below will be the one named in the Agreement</w:t>
            </w:r>
          </w:p>
        </w:tc>
      </w:tr>
      <w:tr w:rsidR="0095748B" w14:paraId="10A50FE7" w14:textId="77777777">
        <w:tc>
          <w:tcPr>
            <w:tcW w:w="3240" w:type="dxa"/>
            <w:tcBorders>
              <w:top w:val="single" w:sz="4" w:space="0" w:color="000000"/>
              <w:left w:val="single" w:sz="4" w:space="0" w:color="000000"/>
              <w:bottom w:val="single" w:sz="4" w:space="0" w:color="000000"/>
            </w:tcBorders>
          </w:tcPr>
          <w:p w14:paraId="6F9419DF" w14:textId="77777777" w:rsidR="0095748B" w:rsidRDefault="00000000">
            <w:pPr>
              <w:pBdr>
                <w:top w:val="nil"/>
                <w:left w:val="nil"/>
                <w:bottom w:val="nil"/>
                <w:right w:val="nil"/>
                <w:between w:val="nil"/>
              </w:pBdr>
              <w:spacing w:before="240" w:after="240"/>
              <w:rPr>
                <w:rFonts w:ascii="Arial" w:eastAsia="Arial" w:hAnsi="Arial" w:cs="Arial"/>
                <w:color w:val="000000"/>
                <w:sz w:val="20"/>
                <w:szCs w:val="20"/>
              </w:rPr>
            </w:pPr>
            <w:r>
              <w:rPr>
                <w:rFonts w:ascii="Arial" w:eastAsia="Arial" w:hAnsi="Arial" w:cs="Arial"/>
                <w:b/>
                <w:color w:val="44546A"/>
                <w:sz w:val="20"/>
                <w:szCs w:val="20"/>
              </w:rPr>
              <w:t>Address:</w:t>
            </w:r>
          </w:p>
        </w:tc>
        <w:tc>
          <w:tcPr>
            <w:tcW w:w="6086" w:type="dxa"/>
            <w:tcBorders>
              <w:top w:val="single" w:sz="4" w:space="0" w:color="000000"/>
              <w:left w:val="single" w:sz="4" w:space="0" w:color="000000"/>
              <w:bottom w:val="single" w:sz="4" w:space="0" w:color="000000"/>
              <w:right w:val="single" w:sz="4" w:space="0" w:color="000000"/>
            </w:tcBorders>
          </w:tcPr>
          <w:p w14:paraId="1FB172BB" w14:textId="77777777" w:rsidR="0095748B" w:rsidRPr="00F405ED" w:rsidRDefault="00000000">
            <w:pPr>
              <w:spacing w:before="240" w:after="240"/>
              <w:jc w:val="both"/>
              <w:rPr>
                <w:rFonts w:ascii="Arial" w:eastAsia="Arial" w:hAnsi="Arial" w:cs="Arial"/>
                <w:sz w:val="20"/>
                <w:szCs w:val="20"/>
              </w:rPr>
            </w:pPr>
            <w:r>
              <w:rPr>
                <w:rFonts w:ascii="Arial" w:eastAsia="Arial" w:hAnsi="Arial" w:cs="Arial"/>
                <w:color w:val="000000"/>
                <w:sz w:val="20"/>
              </w:rPr>
              <w:t>If the Silktide Entity is Silktide Limited</w:t>
            </w:r>
          </w:p>
          <w:p w14:paraId="758B2701" w14:textId="77777777" w:rsidR="0048561D" w:rsidRDefault="00000000">
            <w:r>
              <w:rPr>
                <w:rFonts w:ascii="Arial" w:eastAsia="Arial" w:hAnsi="Arial" w:cs="Arial"/>
                <w:color w:val="000000"/>
                <w:sz w:val="20"/>
              </w:rPr>
              <w:t>1st Floor, The Barwick, 16 Barwick Street, Birmingham, B3 2NT</w:t>
            </w:r>
          </w:p>
          <w:p w14:paraId="76643E9B" w14:textId="77777777" w:rsidR="0048561D" w:rsidRDefault="0048561D"/>
          <w:p w14:paraId="7EC2BA10" w14:textId="77777777" w:rsidR="0048561D" w:rsidRDefault="00000000">
            <w:r>
              <w:rPr>
                <w:rFonts w:ascii="Arial" w:eastAsia="Arial" w:hAnsi="Arial" w:cs="Arial"/>
                <w:color w:val="000000"/>
                <w:sz w:val="20"/>
              </w:rPr>
              <w:t>If the Silktide Entity is Silktide ApS</w:t>
            </w:r>
          </w:p>
          <w:p w14:paraId="0F68FE76" w14:textId="77777777" w:rsidR="0048561D" w:rsidRDefault="00000000">
            <w:r>
              <w:rPr>
                <w:rFonts w:ascii="Arial" w:eastAsia="Arial" w:hAnsi="Arial" w:cs="Arial"/>
                <w:color w:val="000000"/>
                <w:sz w:val="20"/>
              </w:rPr>
              <w:t>Studiestræde 14, A, 1455 København K, Denmark</w:t>
            </w:r>
          </w:p>
          <w:p w14:paraId="49F6B814" w14:textId="77777777" w:rsidR="0048561D" w:rsidRDefault="0048561D"/>
          <w:p w14:paraId="1900AE7C" w14:textId="77777777" w:rsidR="0048561D" w:rsidRDefault="00000000">
            <w:r>
              <w:rPr>
                <w:rFonts w:ascii="Arial" w:eastAsia="Arial" w:hAnsi="Arial" w:cs="Arial"/>
                <w:color w:val="000000"/>
                <w:sz w:val="20"/>
              </w:rPr>
              <w:t>If the Silktide Entity is Silktide Pty Ltd</w:t>
            </w:r>
          </w:p>
          <w:p w14:paraId="4A328F02" w14:textId="77777777" w:rsidR="0048561D" w:rsidRDefault="00000000">
            <w:r>
              <w:rPr>
                <w:rFonts w:ascii="Arial" w:eastAsia="Arial" w:hAnsi="Arial" w:cs="Arial"/>
                <w:color w:val="000000"/>
                <w:sz w:val="20"/>
              </w:rPr>
              <w:t>Suite 1, Level 3, 62 Lygon Street, Carlton South, VIC 3053, Australia</w:t>
            </w:r>
          </w:p>
        </w:tc>
      </w:tr>
      <w:tr w:rsidR="0095748B" w14:paraId="5FFAFE7A" w14:textId="77777777">
        <w:tc>
          <w:tcPr>
            <w:tcW w:w="3240" w:type="dxa"/>
            <w:tcBorders>
              <w:top w:val="single" w:sz="4" w:space="0" w:color="000000"/>
              <w:left w:val="single" w:sz="4" w:space="0" w:color="000000"/>
              <w:bottom w:val="single" w:sz="4" w:space="0" w:color="000000"/>
            </w:tcBorders>
          </w:tcPr>
          <w:p w14:paraId="275FD208" w14:textId="77777777" w:rsidR="0095748B" w:rsidRDefault="00000000">
            <w:pPr>
              <w:pBdr>
                <w:top w:val="nil"/>
                <w:left w:val="nil"/>
                <w:bottom w:val="nil"/>
                <w:right w:val="nil"/>
                <w:between w:val="nil"/>
              </w:pBdr>
              <w:spacing w:before="240" w:after="240"/>
              <w:rPr>
                <w:rFonts w:ascii="Arial" w:eastAsia="Arial" w:hAnsi="Arial" w:cs="Arial"/>
                <w:color w:val="000000"/>
                <w:sz w:val="20"/>
                <w:szCs w:val="20"/>
              </w:rPr>
            </w:pPr>
            <w:r>
              <w:rPr>
                <w:rFonts w:ascii="Arial" w:eastAsia="Arial" w:hAnsi="Arial" w:cs="Arial"/>
                <w:b/>
                <w:color w:val="44546A"/>
                <w:sz w:val="20"/>
                <w:szCs w:val="20"/>
              </w:rPr>
              <w:lastRenderedPageBreak/>
              <w:t>Contact person’s name, position and contact details:</w:t>
            </w:r>
          </w:p>
        </w:tc>
        <w:tc>
          <w:tcPr>
            <w:tcW w:w="6086" w:type="dxa"/>
            <w:tcBorders>
              <w:top w:val="single" w:sz="4" w:space="0" w:color="000000"/>
              <w:left w:val="single" w:sz="4" w:space="0" w:color="000000"/>
              <w:bottom w:val="single" w:sz="4" w:space="0" w:color="000000"/>
              <w:right w:val="single" w:sz="4" w:space="0" w:color="000000"/>
            </w:tcBorders>
          </w:tcPr>
          <w:p w14:paraId="220950D4"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sz w:val="20"/>
                <w:szCs w:val="20"/>
              </w:rPr>
              <w:t>Lee Percox</w:t>
            </w:r>
            <w:r>
              <w:rPr>
                <w:rFonts w:ascii="Arial" w:eastAsia="Arial" w:hAnsi="Arial" w:cs="Arial"/>
                <w:color w:val="000000"/>
                <w:sz w:val="20"/>
                <w:szCs w:val="20"/>
              </w:rPr>
              <w:t xml:space="preserve">, </w:t>
            </w:r>
          </w:p>
          <w:p w14:paraId="5A6E9946"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sz w:val="20"/>
                <w:szCs w:val="20"/>
              </w:rPr>
              <w:t>COO</w:t>
            </w:r>
            <w:r>
              <w:rPr>
                <w:rFonts w:ascii="Arial" w:eastAsia="Arial" w:hAnsi="Arial" w:cs="Arial"/>
                <w:color w:val="000000"/>
                <w:sz w:val="20"/>
                <w:szCs w:val="20"/>
              </w:rPr>
              <w:t xml:space="preserve">, </w:t>
            </w:r>
          </w:p>
        </w:tc>
      </w:tr>
      <w:tr w:rsidR="0095748B" w14:paraId="58F8E238" w14:textId="77777777">
        <w:tc>
          <w:tcPr>
            <w:tcW w:w="3240" w:type="dxa"/>
            <w:tcBorders>
              <w:top w:val="single" w:sz="4" w:space="0" w:color="000000"/>
              <w:left w:val="single" w:sz="4" w:space="0" w:color="000000"/>
              <w:bottom w:val="single" w:sz="4" w:space="0" w:color="000000"/>
            </w:tcBorders>
          </w:tcPr>
          <w:p w14:paraId="3B016550" w14:textId="77777777" w:rsidR="0095748B" w:rsidRDefault="00000000">
            <w:pPr>
              <w:pBdr>
                <w:top w:val="nil"/>
                <w:left w:val="nil"/>
                <w:bottom w:val="nil"/>
                <w:right w:val="nil"/>
                <w:between w:val="nil"/>
              </w:pBdr>
              <w:spacing w:before="240" w:after="240"/>
              <w:rPr>
                <w:rFonts w:ascii="Arial" w:eastAsia="Arial" w:hAnsi="Arial" w:cs="Arial"/>
                <w:color w:val="000000"/>
                <w:sz w:val="20"/>
                <w:szCs w:val="20"/>
              </w:rPr>
            </w:pPr>
            <w:r>
              <w:rPr>
                <w:rFonts w:ascii="Arial" w:eastAsia="Arial" w:hAnsi="Arial" w:cs="Arial"/>
                <w:b/>
                <w:color w:val="44546A"/>
                <w:sz w:val="20"/>
                <w:szCs w:val="20"/>
              </w:rPr>
              <w:t>Activities relevant to the data transferred under the SCCs:</w:t>
            </w:r>
          </w:p>
        </w:tc>
        <w:tc>
          <w:tcPr>
            <w:tcW w:w="6086" w:type="dxa"/>
            <w:tcBorders>
              <w:top w:val="single" w:sz="4" w:space="0" w:color="000000"/>
              <w:left w:val="single" w:sz="4" w:space="0" w:color="000000"/>
              <w:bottom w:val="single" w:sz="4" w:space="0" w:color="000000"/>
              <w:right w:val="single" w:sz="4" w:space="0" w:color="000000"/>
            </w:tcBorders>
          </w:tcPr>
          <w:p w14:paraId="3F98837B"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The provision of cloud computing solutions to the Controller under which the Processor processes Personal Data upon the instructions of the Controller in accordance with the terms of the Agreement.</w:t>
            </w:r>
          </w:p>
        </w:tc>
      </w:tr>
      <w:tr w:rsidR="0095748B" w14:paraId="7BD79083" w14:textId="77777777">
        <w:tc>
          <w:tcPr>
            <w:tcW w:w="3240" w:type="dxa"/>
            <w:tcBorders>
              <w:top w:val="single" w:sz="4" w:space="0" w:color="000000"/>
              <w:left w:val="single" w:sz="4" w:space="0" w:color="000000"/>
              <w:bottom w:val="single" w:sz="4" w:space="0" w:color="000000"/>
            </w:tcBorders>
          </w:tcPr>
          <w:p w14:paraId="5F0B64B2" w14:textId="77777777" w:rsidR="0095748B" w:rsidRDefault="00000000">
            <w:pPr>
              <w:pBdr>
                <w:top w:val="nil"/>
                <w:left w:val="nil"/>
                <w:bottom w:val="nil"/>
                <w:right w:val="nil"/>
                <w:between w:val="nil"/>
              </w:pBdr>
              <w:spacing w:before="240" w:after="240"/>
              <w:rPr>
                <w:rFonts w:ascii="Arial" w:eastAsia="Arial" w:hAnsi="Arial" w:cs="Arial"/>
                <w:color w:val="000000"/>
                <w:sz w:val="20"/>
                <w:szCs w:val="20"/>
              </w:rPr>
            </w:pPr>
            <w:r>
              <w:rPr>
                <w:rFonts w:ascii="Arial" w:eastAsia="Arial" w:hAnsi="Arial" w:cs="Arial"/>
                <w:b/>
                <w:color w:val="44546A"/>
                <w:sz w:val="20"/>
                <w:szCs w:val="20"/>
              </w:rPr>
              <w:t>Signature and date:</w:t>
            </w:r>
          </w:p>
        </w:tc>
        <w:tc>
          <w:tcPr>
            <w:tcW w:w="6086" w:type="dxa"/>
            <w:tcBorders>
              <w:top w:val="single" w:sz="4" w:space="0" w:color="000000"/>
              <w:left w:val="single" w:sz="4" w:space="0" w:color="000000"/>
              <w:bottom w:val="single" w:sz="4" w:space="0" w:color="000000"/>
              <w:right w:val="single" w:sz="4" w:space="0" w:color="000000"/>
            </w:tcBorders>
          </w:tcPr>
          <w:p w14:paraId="5322DF26"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By entering into the Agreement, the Processor is deemed to have signed the SCCs, incorporated into this DPA, including their Annexes, as of the Effective Date of the Agreement.</w:t>
            </w:r>
          </w:p>
        </w:tc>
      </w:tr>
      <w:tr w:rsidR="0095748B" w14:paraId="4949A1C3" w14:textId="77777777">
        <w:tc>
          <w:tcPr>
            <w:tcW w:w="3240" w:type="dxa"/>
            <w:tcBorders>
              <w:top w:val="single" w:sz="4" w:space="0" w:color="000000"/>
              <w:left w:val="single" w:sz="4" w:space="0" w:color="000000"/>
              <w:bottom w:val="single" w:sz="4" w:space="0" w:color="000000"/>
            </w:tcBorders>
          </w:tcPr>
          <w:p w14:paraId="17CFFE62" w14:textId="77777777" w:rsidR="0095748B" w:rsidRDefault="00000000">
            <w:pPr>
              <w:pBdr>
                <w:top w:val="nil"/>
                <w:left w:val="nil"/>
                <w:bottom w:val="nil"/>
                <w:right w:val="nil"/>
                <w:between w:val="nil"/>
              </w:pBdr>
              <w:spacing w:before="240" w:after="240"/>
              <w:rPr>
                <w:rFonts w:ascii="Arial" w:eastAsia="Arial" w:hAnsi="Arial" w:cs="Arial"/>
                <w:color w:val="000000"/>
                <w:sz w:val="20"/>
                <w:szCs w:val="20"/>
              </w:rPr>
            </w:pPr>
            <w:r>
              <w:rPr>
                <w:rFonts w:ascii="Arial" w:eastAsia="Arial" w:hAnsi="Arial" w:cs="Arial"/>
                <w:b/>
                <w:color w:val="44546A"/>
                <w:sz w:val="20"/>
                <w:szCs w:val="20"/>
              </w:rPr>
              <w:t>Role:</w:t>
            </w:r>
          </w:p>
        </w:tc>
        <w:tc>
          <w:tcPr>
            <w:tcW w:w="6086" w:type="dxa"/>
            <w:tcBorders>
              <w:top w:val="single" w:sz="4" w:space="0" w:color="000000"/>
              <w:left w:val="single" w:sz="4" w:space="0" w:color="000000"/>
              <w:bottom w:val="single" w:sz="4" w:space="0" w:color="000000"/>
              <w:right w:val="single" w:sz="4" w:space="0" w:color="000000"/>
            </w:tcBorders>
          </w:tcPr>
          <w:p w14:paraId="215EB4C5"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Processor</w:t>
            </w:r>
          </w:p>
        </w:tc>
      </w:tr>
      <w:tr w:rsidR="0095748B" w14:paraId="0B26A198" w14:textId="77777777">
        <w:tc>
          <w:tcPr>
            <w:tcW w:w="3240" w:type="dxa"/>
            <w:tcBorders>
              <w:top w:val="single" w:sz="4" w:space="0" w:color="000000"/>
              <w:left w:val="single" w:sz="4" w:space="0" w:color="000000"/>
              <w:bottom w:val="single" w:sz="4" w:space="0" w:color="000000"/>
            </w:tcBorders>
          </w:tcPr>
          <w:p w14:paraId="28CF9886" w14:textId="77777777" w:rsidR="0095748B" w:rsidRDefault="00000000">
            <w:pPr>
              <w:pBdr>
                <w:top w:val="nil"/>
                <w:left w:val="nil"/>
                <w:bottom w:val="nil"/>
                <w:right w:val="nil"/>
                <w:between w:val="nil"/>
              </w:pBdr>
              <w:spacing w:before="240" w:after="240"/>
              <w:rPr>
                <w:rFonts w:ascii="Arial" w:eastAsia="Arial" w:hAnsi="Arial" w:cs="Arial"/>
                <w:color w:val="000000"/>
                <w:sz w:val="20"/>
                <w:szCs w:val="20"/>
              </w:rPr>
            </w:pPr>
            <w:r>
              <w:rPr>
                <w:rFonts w:ascii="Arial" w:eastAsia="Arial" w:hAnsi="Arial" w:cs="Arial"/>
                <w:b/>
                <w:color w:val="44546A"/>
                <w:sz w:val="20"/>
                <w:szCs w:val="20"/>
              </w:rPr>
              <w:t>Name of Representative (if applicable):</w:t>
            </w:r>
          </w:p>
        </w:tc>
        <w:tc>
          <w:tcPr>
            <w:tcW w:w="6086" w:type="dxa"/>
            <w:tcBorders>
              <w:top w:val="single" w:sz="4" w:space="0" w:color="000000"/>
              <w:left w:val="single" w:sz="4" w:space="0" w:color="000000"/>
              <w:bottom w:val="single" w:sz="4" w:space="0" w:color="000000"/>
              <w:right w:val="single" w:sz="4" w:space="0" w:color="000000"/>
            </w:tcBorders>
          </w:tcPr>
          <w:p w14:paraId="3F1B089F" w14:textId="7D9B3A5D" w:rsidR="0095748B" w:rsidRDefault="007609B9">
            <w:pPr>
              <w:pBdr>
                <w:top w:val="nil"/>
                <w:left w:val="nil"/>
                <w:bottom w:val="nil"/>
                <w:right w:val="nil"/>
                <w:between w:val="nil"/>
              </w:pBdr>
              <w:spacing w:before="240" w:after="240"/>
              <w:jc w:val="both"/>
              <w:rPr>
                <w:rFonts w:ascii="Arial" w:eastAsia="Arial" w:hAnsi="Arial" w:cs="Arial"/>
                <w:color w:val="000000"/>
                <w:sz w:val="20"/>
                <w:szCs w:val="20"/>
              </w:rPr>
            </w:pPr>
            <w:r w:rsidRPr="007609B9">
              <w:rPr>
                <w:rFonts w:ascii="Arial" w:eastAsia="Arial" w:hAnsi="Arial" w:cs="Arial"/>
                <w:color w:val="44546A"/>
                <w:sz w:val="20"/>
                <w:szCs w:val="20"/>
              </w:rPr>
              <w:t>Silktide ApS, Studiestræde 14A 1st floor, København, Denmark 1455</w:t>
            </w:r>
          </w:p>
        </w:tc>
      </w:tr>
    </w:tbl>
    <w:p w14:paraId="6411F1EC" w14:textId="77777777" w:rsidR="0095748B" w:rsidRDefault="0095748B">
      <w:pPr>
        <w:pBdr>
          <w:top w:val="nil"/>
          <w:left w:val="nil"/>
          <w:bottom w:val="nil"/>
          <w:right w:val="nil"/>
          <w:between w:val="nil"/>
        </w:pBdr>
        <w:spacing w:before="240" w:after="240"/>
        <w:jc w:val="both"/>
        <w:rPr>
          <w:rFonts w:ascii="Arial" w:eastAsia="Arial" w:hAnsi="Arial" w:cs="Arial"/>
          <w:color w:val="000000"/>
          <w:sz w:val="20"/>
          <w:szCs w:val="20"/>
        </w:rPr>
      </w:pPr>
    </w:p>
    <w:p w14:paraId="1F7AE34C"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b/>
          <w:color w:val="000000"/>
          <w:sz w:val="20"/>
          <w:szCs w:val="20"/>
        </w:rPr>
        <w:t>В.</w:t>
      </w:r>
      <w:r>
        <w:rPr>
          <w:rFonts w:ascii="Arial" w:eastAsia="Arial" w:hAnsi="Arial" w:cs="Arial"/>
          <w:b/>
          <w:color w:val="000000"/>
          <w:sz w:val="20"/>
          <w:szCs w:val="20"/>
        </w:rPr>
        <w:tab/>
        <w:t>DESCRIPTION OF PROCESSING AND TRANSFERS</w:t>
      </w:r>
    </w:p>
    <w:tbl>
      <w:tblPr>
        <w:tblStyle w:val="a2"/>
        <w:tblW w:w="9326" w:type="dxa"/>
        <w:tblInd w:w="-135" w:type="dxa"/>
        <w:tblLayout w:type="fixed"/>
        <w:tblLook w:val="0000" w:firstRow="0" w:lastRow="0" w:firstColumn="0" w:lastColumn="0" w:noHBand="0" w:noVBand="0"/>
      </w:tblPr>
      <w:tblGrid>
        <w:gridCol w:w="3217"/>
        <w:gridCol w:w="6109"/>
      </w:tblGrid>
      <w:tr w:rsidR="0095748B" w14:paraId="78FF75FB" w14:textId="77777777">
        <w:tc>
          <w:tcPr>
            <w:tcW w:w="3217" w:type="dxa"/>
            <w:tcBorders>
              <w:top w:val="single" w:sz="4" w:space="0" w:color="000000"/>
              <w:left w:val="single" w:sz="4" w:space="0" w:color="000000"/>
              <w:bottom w:val="single" w:sz="4" w:space="0" w:color="000000"/>
            </w:tcBorders>
          </w:tcPr>
          <w:p w14:paraId="486E980D"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44546A"/>
                <w:sz w:val="20"/>
                <w:szCs w:val="20"/>
              </w:rPr>
              <w:t>Categories of data subjects:</w:t>
            </w:r>
          </w:p>
        </w:tc>
        <w:tc>
          <w:tcPr>
            <w:tcW w:w="6109" w:type="dxa"/>
            <w:tcBorders>
              <w:top w:val="single" w:sz="4" w:space="0" w:color="000000"/>
              <w:left w:val="single" w:sz="4" w:space="0" w:color="000000"/>
              <w:bottom w:val="single" w:sz="4" w:space="0" w:color="000000"/>
              <w:right w:val="single" w:sz="4" w:space="0" w:color="000000"/>
            </w:tcBorders>
          </w:tcPr>
          <w:p w14:paraId="55CC0276"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Employees, freelancers and contractors of the Controller (who are natural persons).</w:t>
            </w:r>
          </w:p>
          <w:p w14:paraId="0E875D9C"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Authorised Users, Affiliates, the Customer and other participants authorised by the Controller to access or use the Services in accordance with the terms of the Agreement.</w:t>
            </w:r>
          </w:p>
          <w:p w14:paraId="7A1EDCFF"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Prospects, customers, clients, business partners and vendors of the Controller (who are natural persons) and individuals with whom those end users communicate with by email and/or other messaging media.</w:t>
            </w:r>
          </w:p>
          <w:p w14:paraId="0D110CBD"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Employees or contact persons of Controller’s prospects, customers, clients, business partners and vendors.</w:t>
            </w:r>
          </w:p>
          <w:p w14:paraId="622269ED"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Suppliers and service providers of the Controller.</w:t>
            </w:r>
          </w:p>
          <w:p w14:paraId="5D469CEF"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Other individuals to the extent identifiable in the context of emails of their attachments or in archiving content.</w:t>
            </w:r>
          </w:p>
        </w:tc>
      </w:tr>
      <w:tr w:rsidR="0095748B" w14:paraId="588B72BC" w14:textId="77777777">
        <w:tc>
          <w:tcPr>
            <w:tcW w:w="3217" w:type="dxa"/>
            <w:tcBorders>
              <w:top w:val="single" w:sz="4" w:space="0" w:color="000000"/>
              <w:left w:val="single" w:sz="4" w:space="0" w:color="000000"/>
              <w:bottom w:val="single" w:sz="4" w:space="0" w:color="000000"/>
            </w:tcBorders>
          </w:tcPr>
          <w:p w14:paraId="7B5E135E"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44546A"/>
                <w:sz w:val="20"/>
                <w:szCs w:val="20"/>
              </w:rPr>
              <w:t>Categories of Personal Data:</w:t>
            </w:r>
          </w:p>
        </w:tc>
        <w:tc>
          <w:tcPr>
            <w:tcW w:w="6109" w:type="dxa"/>
            <w:tcBorders>
              <w:top w:val="single" w:sz="4" w:space="0" w:color="000000"/>
              <w:left w:val="single" w:sz="4" w:space="0" w:color="000000"/>
              <w:bottom w:val="single" w:sz="4" w:space="0" w:color="000000"/>
              <w:right w:val="single" w:sz="4" w:space="0" w:color="000000"/>
            </w:tcBorders>
          </w:tcPr>
          <w:p w14:paraId="631A00A5"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The Controller may submit Personal Data to the Services, the extent of which is determined and controlled by the Controller. The Personal Data includes but is not limited to:</w:t>
            </w:r>
          </w:p>
          <w:p w14:paraId="7797B1C0" w14:textId="77777777" w:rsidR="0095748B" w:rsidRDefault="00000000">
            <w:pPr>
              <w:widowControl w:val="0"/>
              <w:numPr>
                <w:ilvl w:val="0"/>
                <w:numId w:val="4"/>
              </w:numPr>
              <w:jc w:val="both"/>
            </w:pPr>
            <w:r>
              <w:rPr>
                <w:rFonts w:ascii="Arial" w:eastAsia="Arial" w:hAnsi="Arial" w:cs="Arial"/>
                <w:sz w:val="20"/>
                <w:szCs w:val="20"/>
              </w:rPr>
              <w:t>Personal details, names, email addresses of Authorised Users of the Services.</w:t>
            </w:r>
          </w:p>
          <w:p w14:paraId="118AFD9A" w14:textId="77777777" w:rsidR="0095748B" w:rsidRDefault="00000000">
            <w:pPr>
              <w:widowControl w:val="0"/>
              <w:numPr>
                <w:ilvl w:val="0"/>
                <w:numId w:val="4"/>
              </w:numPr>
              <w:jc w:val="both"/>
            </w:pPr>
            <w:r>
              <w:rPr>
                <w:rFonts w:ascii="Arial" w:eastAsia="Arial" w:hAnsi="Arial" w:cs="Arial"/>
                <w:sz w:val="20"/>
                <w:szCs w:val="20"/>
              </w:rPr>
              <w:t>Unique identifiers such as username, account number or password.</w:t>
            </w:r>
          </w:p>
          <w:p w14:paraId="1C2FB12C" w14:textId="77777777" w:rsidR="0095748B" w:rsidRDefault="00000000">
            <w:pPr>
              <w:widowControl w:val="0"/>
              <w:numPr>
                <w:ilvl w:val="0"/>
                <w:numId w:val="4"/>
              </w:numPr>
              <w:jc w:val="both"/>
            </w:pPr>
            <w:r>
              <w:rPr>
                <w:rFonts w:ascii="Arial" w:eastAsia="Arial" w:hAnsi="Arial" w:cs="Arial"/>
                <w:sz w:val="20"/>
                <w:szCs w:val="20"/>
              </w:rPr>
              <w:t xml:space="preserve">Personal Data derived from Authorised User’s use of the Services such as records and business intelligence information. </w:t>
            </w:r>
          </w:p>
          <w:p w14:paraId="6CACAF9C" w14:textId="77777777" w:rsidR="0095748B" w:rsidRDefault="00000000">
            <w:pPr>
              <w:widowControl w:val="0"/>
              <w:numPr>
                <w:ilvl w:val="0"/>
                <w:numId w:val="4"/>
              </w:numPr>
              <w:jc w:val="both"/>
            </w:pPr>
            <w:r>
              <w:rPr>
                <w:rFonts w:ascii="Arial" w:eastAsia="Arial" w:hAnsi="Arial" w:cs="Arial"/>
                <w:sz w:val="20"/>
                <w:szCs w:val="20"/>
              </w:rPr>
              <w:lastRenderedPageBreak/>
              <w:t xml:space="preserve">Personal Data within email and messaging content which identifies or may reasonably be used to identify, data subjects. </w:t>
            </w:r>
          </w:p>
          <w:p w14:paraId="37D9F094" w14:textId="77777777" w:rsidR="0095748B" w:rsidRDefault="00000000">
            <w:pPr>
              <w:widowControl w:val="0"/>
              <w:numPr>
                <w:ilvl w:val="0"/>
                <w:numId w:val="4"/>
              </w:numPr>
              <w:jc w:val="both"/>
            </w:pPr>
            <w:r>
              <w:rPr>
                <w:rFonts w:ascii="Arial" w:eastAsia="Arial" w:hAnsi="Arial" w:cs="Arial"/>
                <w:sz w:val="20"/>
                <w:szCs w:val="20"/>
              </w:rPr>
              <w:t>Meta data including sent, to, from, date, time, subject, which may include Personal Data.</w:t>
            </w:r>
          </w:p>
          <w:p w14:paraId="3EEF2FD0" w14:textId="77777777" w:rsidR="0095748B" w:rsidRDefault="00000000">
            <w:pPr>
              <w:widowControl w:val="0"/>
              <w:numPr>
                <w:ilvl w:val="0"/>
                <w:numId w:val="4"/>
              </w:numPr>
              <w:jc w:val="both"/>
            </w:pPr>
            <w:r>
              <w:rPr>
                <w:rFonts w:ascii="Arial" w:eastAsia="Arial" w:hAnsi="Arial" w:cs="Arial"/>
                <w:sz w:val="20"/>
                <w:szCs w:val="20"/>
              </w:rPr>
              <w:t>Data concerning education and profession.</w:t>
            </w:r>
          </w:p>
          <w:p w14:paraId="790A146D" w14:textId="77777777" w:rsidR="0095748B" w:rsidRDefault="00000000">
            <w:pPr>
              <w:widowControl w:val="0"/>
              <w:numPr>
                <w:ilvl w:val="0"/>
                <w:numId w:val="4"/>
              </w:numPr>
              <w:jc w:val="both"/>
            </w:pPr>
            <w:r>
              <w:rPr>
                <w:rFonts w:ascii="Arial" w:eastAsia="Arial" w:hAnsi="Arial" w:cs="Arial"/>
                <w:sz w:val="20"/>
                <w:szCs w:val="20"/>
              </w:rPr>
              <w:t>Survey, feedback and assessment messages.</w:t>
            </w:r>
          </w:p>
          <w:p w14:paraId="12BE9FF2" w14:textId="77777777" w:rsidR="0095748B" w:rsidRDefault="00000000">
            <w:pPr>
              <w:widowControl w:val="0"/>
              <w:numPr>
                <w:ilvl w:val="0"/>
                <w:numId w:val="4"/>
              </w:numPr>
              <w:jc w:val="both"/>
            </w:pPr>
            <w:r>
              <w:rPr>
                <w:rFonts w:ascii="Arial" w:eastAsia="Arial" w:hAnsi="Arial" w:cs="Arial"/>
                <w:sz w:val="20"/>
                <w:szCs w:val="20"/>
              </w:rPr>
              <w:t>Information offered by users as part of support enquiries.</w:t>
            </w:r>
          </w:p>
          <w:p w14:paraId="360AD49E" w14:textId="77777777" w:rsidR="0095748B" w:rsidRDefault="00000000">
            <w:pPr>
              <w:widowControl w:val="0"/>
              <w:numPr>
                <w:ilvl w:val="0"/>
                <w:numId w:val="4"/>
              </w:numPr>
              <w:jc w:val="both"/>
            </w:pPr>
            <w:r>
              <w:rPr>
                <w:rFonts w:ascii="Arial" w:eastAsia="Arial" w:hAnsi="Arial" w:cs="Arial"/>
                <w:sz w:val="20"/>
                <w:szCs w:val="20"/>
              </w:rPr>
              <w:t>Other data added by the Controller from time to time.</w:t>
            </w:r>
            <w:r>
              <w:rPr>
                <w:rFonts w:ascii="Arial" w:eastAsia="Arial" w:hAnsi="Arial" w:cs="Arial"/>
                <w:sz w:val="20"/>
                <w:szCs w:val="20"/>
              </w:rPr>
              <w:br/>
            </w:r>
          </w:p>
        </w:tc>
      </w:tr>
      <w:tr w:rsidR="0095748B" w14:paraId="7E7B297C" w14:textId="77777777">
        <w:tc>
          <w:tcPr>
            <w:tcW w:w="3217" w:type="dxa"/>
            <w:tcBorders>
              <w:top w:val="single" w:sz="4" w:space="0" w:color="000000"/>
              <w:left w:val="single" w:sz="4" w:space="0" w:color="000000"/>
              <w:bottom w:val="single" w:sz="4" w:space="0" w:color="000000"/>
            </w:tcBorders>
          </w:tcPr>
          <w:p w14:paraId="78BD7F1E"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44546A"/>
                <w:sz w:val="20"/>
                <w:szCs w:val="20"/>
              </w:rPr>
              <w:lastRenderedPageBreak/>
              <w:t xml:space="preserve">Sensitive Data: </w:t>
            </w:r>
          </w:p>
        </w:tc>
        <w:tc>
          <w:tcPr>
            <w:tcW w:w="6109" w:type="dxa"/>
            <w:tcBorders>
              <w:top w:val="single" w:sz="4" w:space="0" w:color="000000"/>
              <w:left w:val="single" w:sz="4" w:space="0" w:color="000000"/>
              <w:bottom w:val="single" w:sz="4" w:space="0" w:color="000000"/>
              <w:right w:val="single" w:sz="4" w:space="0" w:color="000000"/>
            </w:tcBorders>
          </w:tcPr>
          <w:p w14:paraId="18C2A686"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No sensitive data will be processed or transferred and shall not be contained in the content of or attachments to, emails.</w:t>
            </w:r>
          </w:p>
        </w:tc>
      </w:tr>
      <w:tr w:rsidR="0095748B" w14:paraId="6DC4BEB1" w14:textId="77777777">
        <w:tc>
          <w:tcPr>
            <w:tcW w:w="3217" w:type="dxa"/>
            <w:tcBorders>
              <w:top w:val="single" w:sz="4" w:space="0" w:color="000000"/>
              <w:left w:val="single" w:sz="4" w:space="0" w:color="000000"/>
              <w:bottom w:val="single" w:sz="4" w:space="0" w:color="000000"/>
            </w:tcBorders>
          </w:tcPr>
          <w:p w14:paraId="55F36CD6"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44546A"/>
                <w:sz w:val="20"/>
                <w:szCs w:val="20"/>
              </w:rPr>
              <w:t>The frequency of the processing and transfer (e.g. whether the data is transferred on a one-off or continuous basis):</w:t>
            </w:r>
          </w:p>
        </w:tc>
        <w:tc>
          <w:tcPr>
            <w:tcW w:w="6109" w:type="dxa"/>
            <w:tcBorders>
              <w:top w:val="single" w:sz="4" w:space="0" w:color="000000"/>
              <w:left w:val="single" w:sz="4" w:space="0" w:color="000000"/>
              <w:bottom w:val="single" w:sz="4" w:space="0" w:color="000000"/>
              <w:right w:val="single" w:sz="4" w:space="0" w:color="000000"/>
            </w:tcBorders>
          </w:tcPr>
          <w:p w14:paraId="76A33211"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Continuous basis for the duration of the Agreement.</w:t>
            </w:r>
          </w:p>
        </w:tc>
      </w:tr>
      <w:tr w:rsidR="0095748B" w14:paraId="758D39DF" w14:textId="77777777">
        <w:tc>
          <w:tcPr>
            <w:tcW w:w="3217" w:type="dxa"/>
            <w:tcBorders>
              <w:top w:val="single" w:sz="4" w:space="0" w:color="000000"/>
              <w:left w:val="single" w:sz="4" w:space="0" w:color="000000"/>
              <w:bottom w:val="single" w:sz="4" w:space="0" w:color="000000"/>
            </w:tcBorders>
          </w:tcPr>
          <w:p w14:paraId="2FD48A8E"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44546A"/>
                <w:sz w:val="20"/>
                <w:szCs w:val="20"/>
              </w:rPr>
              <w:t>Nature of the processing:</w:t>
            </w:r>
          </w:p>
        </w:tc>
        <w:tc>
          <w:tcPr>
            <w:tcW w:w="6109" w:type="dxa"/>
            <w:tcBorders>
              <w:top w:val="single" w:sz="4" w:space="0" w:color="000000"/>
              <w:left w:val="single" w:sz="4" w:space="0" w:color="000000"/>
              <w:bottom w:val="single" w:sz="4" w:space="0" w:color="000000"/>
              <w:right w:val="single" w:sz="4" w:space="0" w:color="000000"/>
            </w:tcBorders>
          </w:tcPr>
          <w:p w14:paraId="07D445FA"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Processing operations include but are not limited to: allowing the Controller’s employees to log in and use the Services for monitoring the activity of the aforementioned employees as they use the Services, ; maintaining an exportable log of customer details that are submitted to the Processor as part of the lead generation component of the Services, and storing email addresses as reports are shared with third parties.</w:t>
            </w:r>
          </w:p>
        </w:tc>
      </w:tr>
      <w:tr w:rsidR="0095748B" w14:paraId="293FB01B" w14:textId="77777777">
        <w:tc>
          <w:tcPr>
            <w:tcW w:w="3217" w:type="dxa"/>
            <w:tcBorders>
              <w:top w:val="single" w:sz="4" w:space="0" w:color="000000"/>
              <w:left w:val="single" w:sz="4" w:space="0" w:color="000000"/>
              <w:bottom w:val="single" w:sz="4" w:space="0" w:color="000000"/>
            </w:tcBorders>
          </w:tcPr>
          <w:p w14:paraId="45F206BD"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44546A"/>
                <w:sz w:val="20"/>
                <w:szCs w:val="20"/>
              </w:rPr>
              <w:t>Purpose(s) of the data transfer and further processing:</w:t>
            </w:r>
          </w:p>
        </w:tc>
        <w:tc>
          <w:tcPr>
            <w:tcW w:w="6109" w:type="dxa"/>
            <w:tcBorders>
              <w:top w:val="single" w:sz="4" w:space="0" w:color="000000"/>
              <w:left w:val="single" w:sz="4" w:space="0" w:color="000000"/>
              <w:bottom w:val="single" w:sz="4" w:space="0" w:color="000000"/>
              <w:right w:val="single" w:sz="4" w:space="0" w:color="000000"/>
            </w:tcBorders>
          </w:tcPr>
          <w:p w14:paraId="70F95BB2"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Personal Data is transferred to sub-contractors who need to process some of the Personal Data in order to provide their services to the Processor as part of the Services provided by the Processor to the Controller.</w:t>
            </w:r>
          </w:p>
        </w:tc>
      </w:tr>
      <w:tr w:rsidR="0095748B" w14:paraId="295E271A" w14:textId="77777777">
        <w:tc>
          <w:tcPr>
            <w:tcW w:w="3217" w:type="dxa"/>
            <w:tcBorders>
              <w:top w:val="single" w:sz="4" w:space="0" w:color="000000"/>
              <w:left w:val="single" w:sz="4" w:space="0" w:color="000000"/>
              <w:bottom w:val="single" w:sz="4" w:space="0" w:color="000000"/>
            </w:tcBorders>
          </w:tcPr>
          <w:p w14:paraId="0B53B9A1"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44546A"/>
                <w:sz w:val="20"/>
                <w:szCs w:val="20"/>
              </w:rPr>
              <w:t>The period for which the Personal Data will be retained, or, if that is not possible, the criteria used to determine that period:</w:t>
            </w:r>
          </w:p>
        </w:tc>
        <w:tc>
          <w:tcPr>
            <w:tcW w:w="6109" w:type="dxa"/>
            <w:tcBorders>
              <w:top w:val="single" w:sz="4" w:space="0" w:color="000000"/>
              <w:left w:val="single" w:sz="4" w:space="0" w:color="000000"/>
              <w:bottom w:val="single" w:sz="4" w:space="0" w:color="000000"/>
              <w:right w:val="single" w:sz="4" w:space="0" w:color="000000"/>
            </w:tcBorders>
          </w:tcPr>
          <w:p w14:paraId="26050359"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Unless agreed otherwise in writing, for the duration of the Agreement, subject to clause 14 of the DPA.</w:t>
            </w:r>
          </w:p>
        </w:tc>
      </w:tr>
      <w:tr w:rsidR="0095748B" w14:paraId="024CE8AE" w14:textId="77777777">
        <w:tc>
          <w:tcPr>
            <w:tcW w:w="3217" w:type="dxa"/>
            <w:tcBorders>
              <w:top w:val="single" w:sz="4" w:space="0" w:color="000000"/>
              <w:left w:val="single" w:sz="4" w:space="0" w:color="000000"/>
              <w:bottom w:val="single" w:sz="4" w:space="0" w:color="000000"/>
            </w:tcBorders>
          </w:tcPr>
          <w:p w14:paraId="1C0EEC03"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44546A"/>
                <w:sz w:val="20"/>
                <w:szCs w:val="20"/>
              </w:rPr>
              <w:t xml:space="preserve">For transfers to (Sub-) processors, also specify subject matter, nature and duration of the processing: </w:t>
            </w:r>
          </w:p>
        </w:tc>
        <w:tc>
          <w:tcPr>
            <w:tcW w:w="6109" w:type="dxa"/>
            <w:tcBorders>
              <w:top w:val="single" w:sz="4" w:space="0" w:color="000000"/>
              <w:left w:val="single" w:sz="4" w:space="0" w:color="000000"/>
              <w:bottom w:val="single" w:sz="4" w:space="0" w:color="000000"/>
              <w:right w:val="single" w:sz="4" w:space="0" w:color="000000"/>
            </w:tcBorders>
          </w:tcPr>
          <w:p w14:paraId="0380E139"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The Sub-processor list accessed via https://silktide.com/company/legal/sub-processors/ sets out the Personal Data processed by each Sub-processor and the services provided by each Sub-processor.</w:t>
            </w:r>
          </w:p>
        </w:tc>
      </w:tr>
    </w:tbl>
    <w:p w14:paraId="5B870BB0" w14:textId="77777777" w:rsidR="0095748B" w:rsidRDefault="0095748B">
      <w:pPr>
        <w:pBdr>
          <w:top w:val="nil"/>
          <w:left w:val="nil"/>
          <w:bottom w:val="nil"/>
          <w:right w:val="nil"/>
          <w:between w:val="nil"/>
        </w:pBdr>
        <w:spacing w:before="240" w:after="240"/>
        <w:jc w:val="both"/>
        <w:rPr>
          <w:rFonts w:ascii="Arial" w:eastAsia="Arial" w:hAnsi="Arial" w:cs="Arial"/>
          <w:color w:val="000000"/>
          <w:sz w:val="20"/>
          <w:szCs w:val="20"/>
        </w:rPr>
      </w:pPr>
    </w:p>
    <w:p w14:paraId="66D84CC8"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b/>
          <w:color w:val="000000"/>
          <w:sz w:val="20"/>
          <w:szCs w:val="20"/>
        </w:rPr>
        <w:t>C.</w:t>
      </w:r>
      <w:r>
        <w:rPr>
          <w:rFonts w:ascii="Arial" w:eastAsia="Arial" w:hAnsi="Arial" w:cs="Arial"/>
          <w:b/>
          <w:color w:val="000000"/>
          <w:sz w:val="20"/>
          <w:szCs w:val="20"/>
        </w:rPr>
        <w:tab/>
        <w:t>COMPETENT SUPERVISORY AUTHORITY</w:t>
      </w:r>
    </w:p>
    <w:tbl>
      <w:tblPr>
        <w:tblStyle w:val="a3"/>
        <w:tblW w:w="9326" w:type="dxa"/>
        <w:tblInd w:w="-135" w:type="dxa"/>
        <w:tblLayout w:type="fixed"/>
        <w:tblLook w:val="0000" w:firstRow="0" w:lastRow="0" w:firstColumn="0" w:lastColumn="0" w:noHBand="0" w:noVBand="0"/>
      </w:tblPr>
      <w:tblGrid>
        <w:gridCol w:w="3221"/>
        <w:gridCol w:w="6105"/>
      </w:tblGrid>
      <w:tr w:rsidR="0095748B" w14:paraId="7106B789" w14:textId="77777777">
        <w:tc>
          <w:tcPr>
            <w:tcW w:w="3221" w:type="dxa"/>
            <w:tcBorders>
              <w:top w:val="single" w:sz="4" w:space="0" w:color="000000"/>
              <w:left w:val="single" w:sz="4" w:space="0" w:color="000000"/>
              <w:bottom w:val="single" w:sz="4" w:space="0" w:color="000000"/>
            </w:tcBorders>
          </w:tcPr>
          <w:p w14:paraId="13069071"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44546A"/>
                <w:sz w:val="20"/>
                <w:szCs w:val="20"/>
              </w:rPr>
              <w:t>Identify the competent supervisory authority/ies (e.g. in accordance with Clause 13 of the SCCs)</w:t>
            </w:r>
          </w:p>
        </w:tc>
        <w:tc>
          <w:tcPr>
            <w:tcW w:w="6105" w:type="dxa"/>
            <w:tcBorders>
              <w:top w:val="single" w:sz="4" w:space="0" w:color="000000"/>
              <w:left w:val="single" w:sz="4" w:space="0" w:color="000000"/>
              <w:bottom w:val="single" w:sz="4" w:space="0" w:color="000000"/>
              <w:right w:val="single" w:sz="4" w:space="0" w:color="000000"/>
            </w:tcBorders>
          </w:tcPr>
          <w:p w14:paraId="7DDFF538"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Where the EU GDPR applies, the Irish Data Protection Authority - The Data Protection Commission (DPC).</w:t>
            </w:r>
          </w:p>
          <w:p w14:paraId="13CF7210"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Where the UK GDPR applies, the UK Information Commissioner's Office, (ICO).</w:t>
            </w:r>
          </w:p>
          <w:p w14:paraId="185787F0"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lastRenderedPageBreak/>
              <w:t>Where the FDPA applies, the Swiss Federal Data Protection and Information Commissioner, (FDPIC).</w:t>
            </w:r>
          </w:p>
        </w:tc>
      </w:tr>
    </w:tbl>
    <w:p w14:paraId="29BBE933" w14:textId="77777777" w:rsidR="0095748B" w:rsidRDefault="0095748B">
      <w:pPr>
        <w:pBdr>
          <w:top w:val="nil"/>
          <w:left w:val="nil"/>
          <w:bottom w:val="nil"/>
          <w:right w:val="nil"/>
          <w:between w:val="nil"/>
        </w:pBdr>
        <w:spacing w:before="240" w:after="240"/>
        <w:jc w:val="both"/>
        <w:rPr>
          <w:rFonts w:ascii="Arial" w:eastAsia="Arial" w:hAnsi="Arial" w:cs="Arial"/>
          <w:color w:val="000000"/>
          <w:sz w:val="20"/>
          <w:szCs w:val="20"/>
        </w:rPr>
      </w:pPr>
    </w:p>
    <w:p w14:paraId="28EE08B2" w14:textId="77777777" w:rsidR="0095748B" w:rsidRDefault="0095748B">
      <w:pPr>
        <w:pBdr>
          <w:top w:val="nil"/>
          <w:left w:val="nil"/>
          <w:bottom w:val="nil"/>
          <w:right w:val="nil"/>
          <w:between w:val="nil"/>
        </w:pBdr>
        <w:spacing w:after="340" w:line="360" w:lineRule="auto"/>
        <w:jc w:val="both"/>
        <w:rPr>
          <w:rFonts w:ascii="Arial" w:eastAsia="Arial" w:hAnsi="Arial" w:cs="Arial"/>
          <w:color w:val="000000"/>
          <w:sz w:val="20"/>
          <w:szCs w:val="20"/>
        </w:rPr>
        <w:sectPr w:rsidR="0095748B">
          <w:headerReference w:type="even" r:id="rId16"/>
          <w:headerReference w:type="default" r:id="rId17"/>
          <w:footerReference w:type="even" r:id="rId18"/>
          <w:footerReference w:type="default" r:id="rId19"/>
          <w:headerReference w:type="first" r:id="rId20"/>
          <w:footerReference w:type="first" r:id="rId21"/>
          <w:pgSz w:w="11906" w:h="16838"/>
          <w:pgMar w:top="1247" w:right="1418" w:bottom="1134" w:left="1418" w:header="709" w:footer="709" w:gutter="0"/>
          <w:cols w:space="720"/>
        </w:sectPr>
      </w:pPr>
    </w:p>
    <w:p w14:paraId="4ED04CDC" w14:textId="77777777" w:rsidR="0095748B" w:rsidRDefault="0095748B">
      <w:pPr>
        <w:pBdr>
          <w:top w:val="nil"/>
          <w:left w:val="nil"/>
          <w:bottom w:val="nil"/>
          <w:right w:val="nil"/>
          <w:between w:val="nil"/>
        </w:pBdr>
        <w:spacing w:after="340" w:line="360" w:lineRule="auto"/>
        <w:jc w:val="both"/>
        <w:rPr>
          <w:rFonts w:ascii="Arial" w:eastAsia="Arial" w:hAnsi="Arial" w:cs="Arial"/>
          <w:color w:val="000000"/>
          <w:sz w:val="20"/>
          <w:szCs w:val="20"/>
        </w:rPr>
      </w:pPr>
    </w:p>
    <w:p w14:paraId="2821769B" w14:textId="77777777" w:rsidR="0095748B" w:rsidRDefault="00000000">
      <w:pPr>
        <w:spacing w:after="120"/>
        <w:jc w:val="center"/>
      </w:pPr>
      <w:r>
        <w:rPr>
          <w:rFonts w:ascii="Arial" w:eastAsia="Arial" w:hAnsi="Arial" w:cs="Arial"/>
          <w:b/>
          <w:sz w:val="20"/>
          <w:szCs w:val="20"/>
          <w:u w:val="single"/>
        </w:rPr>
        <w:t>Exhibit B</w:t>
      </w:r>
    </w:p>
    <w:p w14:paraId="26CFD441" w14:textId="77777777" w:rsidR="0095748B" w:rsidRDefault="00000000">
      <w:pPr>
        <w:jc w:val="center"/>
      </w:pPr>
      <w:r>
        <w:rPr>
          <w:rFonts w:ascii="Arial" w:eastAsia="Arial" w:hAnsi="Arial" w:cs="Arial"/>
          <w:b/>
          <w:sz w:val="20"/>
          <w:szCs w:val="20"/>
        </w:rPr>
        <w:t>Technical and Organisational Security Measures</w:t>
      </w:r>
    </w:p>
    <w:p w14:paraId="0E0E8115" w14:textId="77777777" w:rsidR="0095748B" w:rsidRDefault="00000000">
      <w:pPr>
        <w:jc w:val="center"/>
      </w:pPr>
      <w:r>
        <w:rPr>
          <w:rFonts w:ascii="Arial" w:eastAsia="Arial" w:hAnsi="Arial" w:cs="Arial"/>
          <w:b/>
          <w:sz w:val="20"/>
          <w:szCs w:val="20"/>
        </w:rPr>
        <w:t>(Including Technical and Organisational Measures to Ensure the Security of Data)</w:t>
      </w:r>
    </w:p>
    <w:p w14:paraId="5D7AB055"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Below is a description of the technical and organisational measures implemented by the Processor (including any relevant certifications) to ensure an appropriate level of security, taking into account the nature, scope, context and purpose of the processing, and the risks for the rights and freedoms of natural persons.</w:t>
      </w:r>
    </w:p>
    <w:p w14:paraId="46CBA570"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Where applicable this Exhibit B will serve as Annex II to the SCCs.</w:t>
      </w:r>
    </w:p>
    <w:p w14:paraId="0D969D7F" w14:textId="77777777" w:rsidR="0095748B" w:rsidRDefault="0095748B">
      <w:pPr>
        <w:pBdr>
          <w:top w:val="nil"/>
          <w:left w:val="nil"/>
          <w:bottom w:val="nil"/>
          <w:right w:val="nil"/>
          <w:between w:val="nil"/>
        </w:pBdr>
        <w:spacing w:before="240" w:after="240"/>
        <w:jc w:val="both"/>
        <w:rPr>
          <w:rFonts w:ascii="Arial" w:eastAsia="Arial" w:hAnsi="Arial" w:cs="Arial"/>
          <w:color w:val="000000"/>
          <w:sz w:val="20"/>
          <w:szCs w:val="20"/>
        </w:rPr>
      </w:pPr>
    </w:p>
    <w:tbl>
      <w:tblPr>
        <w:tblStyle w:val="a4"/>
        <w:tblW w:w="9401" w:type="dxa"/>
        <w:tblInd w:w="-140" w:type="dxa"/>
        <w:tblLayout w:type="fixed"/>
        <w:tblLook w:val="0000" w:firstRow="0" w:lastRow="0" w:firstColumn="0" w:lastColumn="0" w:noHBand="0" w:noVBand="0"/>
      </w:tblPr>
      <w:tblGrid>
        <w:gridCol w:w="3397"/>
        <w:gridCol w:w="6004"/>
      </w:tblGrid>
      <w:tr w:rsidR="0095748B" w14:paraId="604A4034" w14:textId="77777777">
        <w:tc>
          <w:tcPr>
            <w:tcW w:w="3397" w:type="dxa"/>
            <w:tcBorders>
              <w:top w:val="single" w:sz="4" w:space="0" w:color="000000"/>
              <w:left w:val="single" w:sz="4" w:space="0" w:color="000000"/>
              <w:bottom w:val="single" w:sz="4" w:space="0" w:color="000000"/>
            </w:tcBorders>
          </w:tcPr>
          <w:p w14:paraId="6624C283"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b/>
                <w:color w:val="000000"/>
                <w:sz w:val="20"/>
                <w:szCs w:val="20"/>
              </w:rPr>
              <w:t>Measure</w:t>
            </w:r>
          </w:p>
        </w:tc>
        <w:tc>
          <w:tcPr>
            <w:tcW w:w="6004" w:type="dxa"/>
            <w:tcBorders>
              <w:top w:val="single" w:sz="4" w:space="0" w:color="000000"/>
              <w:left w:val="single" w:sz="4" w:space="0" w:color="000000"/>
              <w:bottom w:val="single" w:sz="4" w:space="0" w:color="000000"/>
              <w:right w:val="single" w:sz="4" w:space="0" w:color="000000"/>
            </w:tcBorders>
          </w:tcPr>
          <w:p w14:paraId="2B471054"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b/>
                <w:color w:val="000000"/>
                <w:sz w:val="20"/>
                <w:szCs w:val="20"/>
              </w:rPr>
              <w:t>Description</w:t>
            </w:r>
          </w:p>
        </w:tc>
      </w:tr>
      <w:tr w:rsidR="0095748B" w14:paraId="5169D770" w14:textId="77777777">
        <w:tc>
          <w:tcPr>
            <w:tcW w:w="3397" w:type="dxa"/>
            <w:tcBorders>
              <w:top w:val="single" w:sz="4" w:space="0" w:color="000000"/>
              <w:left w:val="single" w:sz="4" w:space="0" w:color="000000"/>
              <w:bottom w:val="single" w:sz="4" w:space="0" w:color="000000"/>
            </w:tcBorders>
          </w:tcPr>
          <w:p w14:paraId="1B8DF4FE" w14:textId="77777777" w:rsidR="0095748B" w:rsidRDefault="00000000">
            <w:pPr>
              <w:pBdr>
                <w:top w:val="nil"/>
                <w:left w:val="nil"/>
                <w:bottom w:val="nil"/>
                <w:right w:val="nil"/>
                <w:between w:val="nil"/>
              </w:pBdr>
              <w:spacing w:before="240" w:after="240"/>
              <w:rPr>
                <w:rFonts w:ascii="Arial" w:eastAsia="Arial" w:hAnsi="Arial" w:cs="Arial"/>
                <w:color w:val="000000"/>
                <w:sz w:val="20"/>
                <w:szCs w:val="20"/>
              </w:rPr>
            </w:pPr>
            <w:r>
              <w:rPr>
                <w:rFonts w:ascii="Arial" w:eastAsia="Arial" w:hAnsi="Arial" w:cs="Arial"/>
                <w:color w:val="44546A"/>
                <w:sz w:val="20"/>
                <w:szCs w:val="20"/>
              </w:rPr>
              <w:t>Measures of pseudonymisation and encryption of Personal Data</w:t>
            </w:r>
          </w:p>
        </w:tc>
        <w:tc>
          <w:tcPr>
            <w:tcW w:w="6004" w:type="dxa"/>
            <w:tcBorders>
              <w:top w:val="single" w:sz="4" w:space="0" w:color="000000"/>
              <w:left w:val="single" w:sz="4" w:space="0" w:color="000000"/>
              <w:bottom w:val="single" w:sz="4" w:space="0" w:color="000000"/>
              <w:right w:val="single" w:sz="4" w:space="0" w:color="000000"/>
            </w:tcBorders>
          </w:tcPr>
          <w:p w14:paraId="2FFC6F8B"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For the purpose of transfer control, an encryption technology is used (e.g. remote access to the company network via two factor VPN tunnel and full disk encryption). The suitability of an encryption technology is measured against the protective purpose.</w:t>
            </w:r>
          </w:p>
          <w:p w14:paraId="024FF4FA"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The Controller’s data is encrypted at rest using AES256 bit encryption.</w:t>
            </w:r>
          </w:p>
          <w:p w14:paraId="5075C741"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Data in transit is protected by Transport Layer Security (“TLS”).</w:t>
            </w:r>
          </w:p>
        </w:tc>
      </w:tr>
      <w:tr w:rsidR="0095748B" w14:paraId="408B5E68" w14:textId="77777777">
        <w:tc>
          <w:tcPr>
            <w:tcW w:w="3397" w:type="dxa"/>
            <w:tcBorders>
              <w:top w:val="single" w:sz="4" w:space="0" w:color="000000"/>
              <w:left w:val="single" w:sz="4" w:space="0" w:color="000000"/>
              <w:bottom w:val="single" w:sz="4" w:space="0" w:color="000000"/>
            </w:tcBorders>
          </w:tcPr>
          <w:p w14:paraId="647AD7D3" w14:textId="77777777" w:rsidR="0095748B" w:rsidRDefault="00000000">
            <w:pPr>
              <w:pBdr>
                <w:top w:val="nil"/>
                <w:left w:val="nil"/>
                <w:bottom w:val="nil"/>
                <w:right w:val="nil"/>
                <w:between w:val="nil"/>
              </w:pBdr>
              <w:spacing w:before="240" w:after="240"/>
              <w:rPr>
                <w:rFonts w:ascii="Arial" w:eastAsia="Arial" w:hAnsi="Arial" w:cs="Arial"/>
                <w:color w:val="000000"/>
                <w:sz w:val="20"/>
                <w:szCs w:val="20"/>
              </w:rPr>
            </w:pPr>
            <w:r>
              <w:rPr>
                <w:rFonts w:ascii="Arial" w:eastAsia="Arial" w:hAnsi="Arial" w:cs="Arial"/>
                <w:color w:val="44546A"/>
                <w:sz w:val="20"/>
                <w:szCs w:val="20"/>
              </w:rPr>
              <w:t>Measures for ensuring ongoing confidentiality, integrity, availability and resilience of processing systems and services</w:t>
            </w:r>
          </w:p>
        </w:tc>
        <w:tc>
          <w:tcPr>
            <w:tcW w:w="6004" w:type="dxa"/>
            <w:tcBorders>
              <w:top w:val="single" w:sz="4" w:space="0" w:color="000000"/>
              <w:left w:val="single" w:sz="4" w:space="0" w:color="000000"/>
              <w:bottom w:val="single" w:sz="4" w:space="0" w:color="000000"/>
              <w:right w:val="single" w:sz="4" w:space="0" w:color="000000"/>
            </w:tcBorders>
          </w:tcPr>
          <w:p w14:paraId="57B6A852"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Access to data necessary for the performance of the particular task is ensured within the systems and applications by a corresponding role and authorisation concept. In accordance to the “least privilege” and "need-to-know" principles, each role has only those rights which are necessary for the fulfilment of the task to be performed by the individual person.</w:t>
            </w:r>
          </w:p>
          <w:p w14:paraId="1564367F"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To maintain data access control, state of the art encryption technology is applied to the Personal Data itself where deemed appropriate to protect sensitive data based on risk.</w:t>
            </w:r>
          </w:p>
        </w:tc>
      </w:tr>
      <w:tr w:rsidR="0095748B" w14:paraId="457C7A7D" w14:textId="77777777">
        <w:tc>
          <w:tcPr>
            <w:tcW w:w="3397" w:type="dxa"/>
            <w:tcBorders>
              <w:top w:val="single" w:sz="4" w:space="0" w:color="000000"/>
              <w:left w:val="single" w:sz="4" w:space="0" w:color="000000"/>
              <w:bottom w:val="single" w:sz="4" w:space="0" w:color="000000"/>
            </w:tcBorders>
          </w:tcPr>
          <w:p w14:paraId="3DB1A56E"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44546A"/>
                <w:sz w:val="20"/>
                <w:szCs w:val="20"/>
              </w:rPr>
              <w:t>Measures for ensuring the ability to restore the availability and access to Personal Data in a timely manner in the event of a physical or technical incident</w:t>
            </w:r>
          </w:p>
        </w:tc>
        <w:tc>
          <w:tcPr>
            <w:tcW w:w="6004" w:type="dxa"/>
            <w:tcBorders>
              <w:top w:val="single" w:sz="4" w:space="0" w:color="000000"/>
              <w:left w:val="single" w:sz="4" w:space="0" w:color="000000"/>
              <w:bottom w:val="single" w:sz="4" w:space="0" w:color="000000"/>
              <w:right w:val="single" w:sz="4" w:space="0" w:color="000000"/>
            </w:tcBorders>
          </w:tcPr>
          <w:p w14:paraId="63244B25"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 xml:space="preserve">All our applications are built stateless by using Terraform templates and can be easily recreated in different geographical regions. Data is stored in multiple AWS availability zones. The data centres can be switched in the event of flooding, earthquake, fire or other physical destruction or power outage to protect Personal Data against accidental destruction and loss. </w:t>
            </w:r>
          </w:p>
          <w:p w14:paraId="0263B0A6"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We maintain redundancy throughout our IT infrastructure in order to minimize the lack of availability to or loss of data. Backups are maintained daily in accordance with our backup procedures.</w:t>
            </w:r>
          </w:p>
        </w:tc>
      </w:tr>
      <w:tr w:rsidR="0095748B" w14:paraId="60E3ADA9" w14:textId="77777777">
        <w:tc>
          <w:tcPr>
            <w:tcW w:w="3397" w:type="dxa"/>
            <w:tcBorders>
              <w:top w:val="single" w:sz="4" w:space="0" w:color="000000"/>
              <w:left w:val="single" w:sz="4" w:space="0" w:color="000000"/>
              <w:bottom w:val="single" w:sz="4" w:space="0" w:color="000000"/>
            </w:tcBorders>
          </w:tcPr>
          <w:p w14:paraId="5373F15E" w14:textId="77777777" w:rsidR="0095748B" w:rsidRDefault="00000000">
            <w:pPr>
              <w:pBdr>
                <w:top w:val="nil"/>
                <w:left w:val="nil"/>
                <w:bottom w:val="nil"/>
                <w:right w:val="nil"/>
                <w:between w:val="nil"/>
              </w:pBdr>
              <w:spacing w:before="240" w:after="240"/>
              <w:rPr>
                <w:rFonts w:ascii="Arial" w:eastAsia="Arial" w:hAnsi="Arial" w:cs="Arial"/>
                <w:color w:val="000000"/>
                <w:sz w:val="20"/>
                <w:szCs w:val="20"/>
              </w:rPr>
            </w:pPr>
            <w:r>
              <w:rPr>
                <w:rFonts w:ascii="Arial" w:eastAsia="Arial" w:hAnsi="Arial" w:cs="Arial"/>
                <w:color w:val="44546A"/>
                <w:sz w:val="20"/>
                <w:szCs w:val="20"/>
              </w:rPr>
              <w:t xml:space="preserve">Processes for regularly testing, assessing and evaluating the effectiveness of technical and organisational measures in order to </w:t>
            </w:r>
            <w:r>
              <w:rPr>
                <w:rFonts w:ascii="Arial" w:eastAsia="Arial" w:hAnsi="Arial" w:cs="Arial"/>
                <w:color w:val="44546A"/>
                <w:sz w:val="20"/>
                <w:szCs w:val="20"/>
              </w:rPr>
              <w:lastRenderedPageBreak/>
              <w:t>ensure the security of the processing</w:t>
            </w:r>
          </w:p>
        </w:tc>
        <w:tc>
          <w:tcPr>
            <w:tcW w:w="6004" w:type="dxa"/>
            <w:tcBorders>
              <w:top w:val="single" w:sz="4" w:space="0" w:color="000000"/>
              <w:left w:val="single" w:sz="4" w:space="0" w:color="000000"/>
              <w:bottom w:val="single" w:sz="4" w:space="0" w:color="000000"/>
              <w:right w:val="single" w:sz="4" w:space="0" w:color="000000"/>
            </w:tcBorders>
          </w:tcPr>
          <w:p w14:paraId="21FF7978"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We strive to automate audits hence the majority of our monitoring of our infrastructure is automated and running 24/7 and based on various frameworks. </w:t>
            </w:r>
          </w:p>
        </w:tc>
      </w:tr>
      <w:tr w:rsidR="0095748B" w14:paraId="4BCB99E8" w14:textId="77777777">
        <w:tc>
          <w:tcPr>
            <w:tcW w:w="3397" w:type="dxa"/>
            <w:tcBorders>
              <w:top w:val="single" w:sz="4" w:space="0" w:color="000000"/>
              <w:left w:val="single" w:sz="4" w:space="0" w:color="000000"/>
              <w:bottom w:val="single" w:sz="4" w:space="0" w:color="000000"/>
            </w:tcBorders>
          </w:tcPr>
          <w:p w14:paraId="198A07A9" w14:textId="77777777" w:rsidR="0095748B" w:rsidRDefault="00000000">
            <w:pPr>
              <w:pBdr>
                <w:top w:val="nil"/>
                <w:left w:val="nil"/>
                <w:bottom w:val="nil"/>
                <w:right w:val="nil"/>
                <w:between w:val="nil"/>
              </w:pBdr>
              <w:spacing w:before="240" w:after="240"/>
              <w:rPr>
                <w:rFonts w:ascii="Arial" w:eastAsia="Arial" w:hAnsi="Arial" w:cs="Arial"/>
                <w:color w:val="000000"/>
                <w:sz w:val="20"/>
                <w:szCs w:val="20"/>
              </w:rPr>
            </w:pPr>
            <w:r>
              <w:rPr>
                <w:rFonts w:ascii="Arial" w:eastAsia="Arial" w:hAnsi="Arial" w:cs="Arial"/>
                <w:color w:val="44546A"/>
                <w:sz w:val="20"/>
                <w:szCs w:val="20"/>
              </w:rPr>
              <w:t>Measures for user identification and authorisation</w:t>
            </w:r>
          </w:p>
        </w:tc>
        <w:tc>
          <w:tcPr>
            <w:tcW w:w="6004" w:type="dxa"/>
            <w:tcBorders>
              <w:top w:val="single" w:sz="4" w:space="0" w:color="000000"/>
              <w:left w:val="single" w:sz="4" w:space="0" w:color="000000"/>
              <w:bottom w:val="single" w:sz="4" w:space="0" w:color="000000"/>
              <w:right w:val="single" w:sz="4" w:space="0" w:color="000000"/>
            </w:tcBorders>
          </w:tcPr>
          <w:p w14:paraId="5F549B03"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Remote access to the data processing systems is only possible through the Processor’s secure VPN tunnel. If the users first authenticate to the secure VPN tunnel, after successful authentication, authorisation is executed by providing a unique user name and password to a centralised directory service. All access attempts, successful and unsuccessful are logged.</w:t>
            </w:r>
          </w:p>
        </w:tc>
      </w:tr>
      <w:tr w:rsidR="0095748B" w14:paraId="3716C1C6" w14:textId="77777777">
        <w:tc>
          <w:tcPr>
            <w:tcW w:w="3397" w:type="dxa"/>
            <w:tcBorders>
              <w:top w:val="single" w:sz="4" w:space="0" w:color="000000"/>
              <w:left w:val="single" w:sz="4" w:space="0" w:color="000000"/>
              <w:bottom w:val="single" w:sz="4" w:space="0" w:color="000000"/>
            </w:tcBorders>
          </w:tcPr>
          <w:p w14:paraId="5CDC2EA0" w14:textId="77777777" w:rsidR="0095748B" w:rsidRDefault="00000000">
            <w:pPr>
              <w:pBdr>
                <w:top w:val="nil"/>
                <w:left w:val="nil"/>
                <w:bottom w:val="nil"/>
                <w:right w:val="nil"/>
                <w:between w:val="nil"/>
              </w:pBdr>
              <w:spacing w:before="240" w:after="240"/>
              <w:rPr>
                <w:rFonts w:ascii="Arial" w:eastAsia="Arial" w:hAnsi="Arial" w:cs="Arial"/>
                <w:color w:val="000000"/>
                <w:sz w:val="20"/>
                <w:szCs w:val="20"/>
              </w:rPr>
            </w:pPr>
            <w:r>
              <w:rPr>
                <w:rFonts w:ascii="Arial" w:eastAsia="Arial" w:hAnsi="Arial" w:cs="Arial"/>
                <w:color w:val="44546A"/>
                <w:sz w:val="20"/>
                <w:szCs w:val="20"/>
              </w:rPr>
              <w:t>Measures for the protection of data during transmission</w:t>
            </w:r>
          </w:p>
        </w:tc>
        <w:tc>
          <w:tcPr>
            <w:tcW w:w="6004" w:type="dxa"/>
            <w:tcBorders>
              <w:top w:val="single" w:sz="4" w:space="0" w:color="000000"/>
              <w:left w:val="single" w:sz="4" w:space="0" w:color="000000"/>
              <w:bottom w:val="single" w:sz="4" w:space="0" w:color="000000"/>
              <w:right w:val="single" w:sz="4" w:space="0" w:color="000000"/>
            </w:tcBorders>
          </w:tcPr>
          <w:p w14:paraId="05F585B2"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 xml:space="preserve">Data in transit is protected by Transport Layer Security (“TLS”). </w:t>
            </w:r>
          </w:p>
        </w:tc>
      </w:tr>
      <w:tr w:rsidR="0095748B" w14:paraId="111E0CE1" w14:textId="77777777">
        <w:tc>
          <w:tcPr>
            <w:tcW w:w="3397" w:type="dxa"/>
            <w:tcBorders>
              <w:top w:val="single" w:sz="4" w:space="0" w:color="000000"/>
              <w:left w:val="single" w:sz="4" w:space="0" w:color="000000"/>
              <w:bottom w:val="single" w:sz="4" w:space="0" w:color="000000"/>
            </w:tcBorders>
          </w:tcPr>
          <w:p w14:paraId="7F14A709" w14:textId="77777777" w:rsidR="0095748B" w:rsidRDefault="00000000">
            <w:pPr>
              <w:pBdr>
                <w:top w:val="nil"/>
                <w:left w:val="nil"/>
                <w:bottom w:val="nil"/>
                <w:right w:val="nil"/>
                <w:between w:val="nil"/>
              </w:pBdr>
              <w:spacing w:before="240" w:after="240"/>
              <w:rPr>
                <w:rFonts w:ascii="Arial" w:eastAsia="Arial" w:hAnsi="Arial" w:cs="Arial"/>
                <w:color w:val="000000"/>
                <w:sz w:val="20"/>
                <w:szCs w:val="20"/>
              </w:rPr>
            </w:pPr>
            <w:r>
              <w:rPr>
                <w:rFonts w:ascii="Arial" w:eastAsia="Arial" w:hAnsi="Arial" w:cs="Arial"/>
                <w:color w:val="44546A"/>
                <w:sz w:val="20"/>
                <w:szCs w:val="20"/>
              </w:rPr>
              <w:t>Measures for the protection of data during storage</w:t>
            </w:r>
          </w:p>
        </w:tc>
        <w:tc>
          <w:tcPr>
            <w:tcW w:w="6004" w:type="dxa"/>
            <w:tcBorders>
              <w:top w:val="single" w:sz="4" w:space="0" w:color="000000"/>
              <w:left w:val="single" w:sz="4" w:space="0" w:color="000000"/>
              <w:bottom w:val="single" w:sz="4" w:space="0" w:color="000000"/>
              <w:right w:val="single" w:sz="4" w:space="0" w:color="000000"/>
            </w:tcBorders>
          </w:tcPr>
          <w:p w14:paraId="565909DE"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 xml:space="preserve">Personal Data is only retained internally, and on the third party data centre servers, which are covered by AWS certifications. </w:t>
            </w:r>
          </w:p>
          <w:p w14:paraId="30DC5E65"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The Controller’s archived data is encrypted at rest using AES256 bit encryption and data in transit is protected by Transport Layer Security (“TLS”).</w:t>
            </w:r>
          </w:p>
        </w:tc>
      </w:tr>
      <w:tr w:rsidR="0095748B" w14:paraId="1C9F24D3" w14:textId="77777777">
        <w:tc>
          <w:tcPr>
            <w:tcW w:w="3397" w:type="dxa"/>
            <w:tcBorders>
              <w:top w:val="single" w:sz="4" w:space="0" w:color="000000"/>
              <w:left w:val="single" w:sz="4" w:space="0" w:color="000000"/>
              <w:bottom w:val="single" w:sz="4" w:space="0" w:color="000000"/>
            </w:tcBorders>
          </w:tcPr>
          <w:p w14:paraId="48E0D274" w14:textId="77777777" w:rsidR="0095748B" w:rsidRDefault="00000000">
            <w:pPr>
              <w:pBdr>
                <w:top w:val="nil"/>
                <w:left w:val="nil"/>
                <w:bottom w:val="nil"/>
                <w:right w:val="nil"/>
                <w:between w:val="nil"/>
              </w:pBdr>
              <w:spacing w:before="240" w:after="240"/>
              <w:rPr>
                <w:rFonts w:ascii="Arial" w:eastAsia="Arial" w:hAnsi="Arial" w:cs="Arial"/>
                <w:color w:val="000000"/>
                <w:sz w:val="20"/>
                <w:szCs w:val="20"/>
              </w:rPr>
            </w:pPr>
            <w:r>
              <w:rPr>
                <w:rFonts w:ascii="Arial" w:eastAsia="Arial" w:hAnsi="Arial" w:cs="Arial"/>
                <w:color w:val="44546A"/>
                <w:sz w:val="20"/>
                <w:szCs w:val="20"/>
              </w:rPr>
              <w:t>Measures for ensuring physical security of locations at which Personal Data are processed</w:t>
            </w:r>
          </w:p>
        </w:tc>
        <w:tc>
          <w:tcPr>
            <w:tcW w:w="6004" w:type="dxa"/>
            <w:tcBorders>
              <w:top w:val="single" w:sz="4" w:space="0" w:color="000000"/>
              <w:left w:val="single" w:sz="4" w:space="0" w:color="000000"/>
              <w:bottom w:val="single" w:sz="4" w:space="0" w:color="000000"/>
              <w:right w:val="single" w:sz="4" w:space="0" w:color="000000"/>
            </w:tcBorders>
          </w:tcPr>
          <w:p w14:paraId="73F68740"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The Processor utilises third party data centres that maintain current ISO 27001 certifications and/or SSAE 16 SOC 1 Type II or SOC 2 Attestation Reports. The Processor will not utilise third party data centres that do not maintain the aforementioned certifications and/or attestations, or other substantially similar or equivalent certifications and/or attestations.</w:t>
            </w:r>
          </w:p>
          <w:p w14:paraId="53AF9DA8"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The Processor’s main office is secured with keypad entry. The keypad entry requires access to a secure PIN. When it is not occupied, it is locked securely and covered by a remotely monitored alarm. A central log of keyholders is maintained and access is revoked when an employee is terminated.</w:t>
            </w:r>
          </w:p>
          <w:p w14:paraId="1340162B"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The Processor’s employees that work from home are expected to comply with our security policy in full at all times. Our disciplinary procedure covers failure to meet these standards.</w:t>
            </w:r>
          </w:p>
        </w:tc>
      </w:tr>
      <w:tr w:rsidR="0095748B" w14:paraId="1E2AA7C1" w14:textId="77777777">
        <w:tc>
          <w:tcPr>
            <w:tcW w:w="3397" w:type="dxa"/>
            <w:tcBorders>
              <w:top w:val="single" w:sz="4" w:space="0" w:color="000000"/>
              <w:left w:val="single" w:sz="4" w:space="0" w:color="000000"/>
              <w:bottom w:val="single" w:sz="4" w:space="0" w:color="000000"/>
            </w:tcBorders>
          </w:tcPr>
          <w:p w14:paraId="205464C8" w14:textId="77777777" w:rsidR="0095748B" w:rsidRDefault="00000000">
            <w:pPr>
              <w:pBdr>
                <w:top w:val="nil"/>
                <w:left w:val="nil"/>
                <w:bottom w:val="nil"/>
                <w:right w:val="nil"/>
                <w:between w:val="nil"/>
              </w:pBdr>
              <w:spacing w:before="240" w:after="240"/>
              <w:rPr>
                <w:rFonts w:ascii="Arial" w:eastAsia="Arial" w:hAnsi="Arial" w:cs="Arial"/>
                <w:color w:val="000000"/>
                <w:sz w:val="20"/>
                <w:szCs w:val="20"/>
              </w:rPr>
            </w:pPr>
            <w:r>
              <w:rPr>
                <w:rFonts w:ascii="Arial" w:eastAsia="Arial" w:hAnsi="Arial" w:cs="Arial"/>
                <w:color w:val="44546A"/>
                <w:sz w:val="20"/>
                <w:szCs w:val="20"/>
              </w:rPr>
              <w:t>Measures for ensuring events logging</w:t>
            </w:r>
          </w:p>
        </w:tc>
        <w:tc>
          <w:tcPr>
            <w:tcW w:w="6004" w:type="dxa"/>
            <w:tcBorders>
              <w:top w:val="single" w:sz="4" w:space="0" w:color="000000"/>
              <w:left w:val="single" w:sz="4" w:space="0" w:color="000000"/>
              <w:bottom w:val="single" w:sz="4" w:space="0" w:color="000000"/>
              <w:right w:val="single" w:sz="4" w:space="0" w:color="000000"/>
            </w:tcBorders>
          </w:tcPr>
          <w:p w14:paraId="60AB13FC"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System inputs are recorded in the form of log files therefore it is possible to review retroactively whether and by whom Personal Data was entered, altered or deleted.</w:t>
            </w:r>
          </w:p>
        </w:tc>
      </w:tr>
      <w:tr w:rsidR="0095748B" w14:paraId="7ABC093C" w14:textId="77777777">
        <w:tc>
          <w:tcPr>
            <w:tcW w:w="3397" w:type="dxa"/>
            <w:tcBorders>
              <w:top w:val="single" w:sz="4" w:space="0" w:color="000000"/>
              <w:left w:val="single" w:sz="4" w:space="0" w:color="000000"/>
              <w:bottom w:val="single" w:sz="4" w:space="0" w:color="000000"/>
            </w:tcBorders>
          </w:tcPr>
          <w:p w14:paraId="65725E98" w14:textId="77777777" w:rsidR="0095748B" w:rsidRDefault="00000000">
            <w:pPr>
              <w:pBdr>
                <w:top w:val="nil"/>
                <w:left w:val="nil"/>
                <w:bottom w:val="nil"/>
                <w:right w:val="nil"/>
                <w:between w:val="nil"/>
              </w:pBdr>
              <w:spacing w:before="240" w:after="240"/>
              <w:rPr>
                <w:rFonts w:ascii="Arial" w:eastAsia="Arial" w:hAnsi="Arial" w:cs="Arial"/>
                <w:color w:val="000000"/>
                <w:sz w:val="20"/>
                <w:szCs w:val="20"/>
              </w:rPr>
            </w:pPr>
            <w:r>
              <w:rPr>
                <w:rFonts w:ascii="Arial" w:eastAsia="Arial" w:hAnsi="Arial" w:cs="Arial"/>
                <w:color w:val="44546A"/>
                <w:sz w:val="20"/>
                <w:szCs w:val="20"/>
              </w:rPr>
              <w:t>Measures for ensuring system configuration, including default configuration</w:t>
            </w:r>
          </w:p>
        </w:tc>
        <w:tc>
          <w:tcPr>
            <w:tcW w:w="6004" w:type="dxa"/>
            <w:tcBorders>
              <w:top w:val="single" w:sz="4" w:space="0" w:color="000000"/>
              <w:left w:val="single" w:sz="4" w:space="0" w:color="000000"/>
              <w:bottom w:val="single" w:sz="4" w:space="0" w:color="000000"/>
              <w:right w:val="single" w:sz="4" w:space="0" w:color="000000"/>
            </w:tcBorders>
          </w:tcPr>
          <w:p w14:paraId="6FA3D1FF"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System configuration is applied and maintained by software tools that ensure the system configurations do not deviate from the specifications.</w:t>
            </w:r>
          </w:p>
        </w:tc>
      </w:tr>
      <w:tr w:rsidR="0095748B" w14:paraId="51F4D41F" w14:textId="77777777">
        <w:tc>
          <w:tcPr>
            <w:tcW w:w="3397" w:type="dxa"/>
            <w:tcBorders>
              <w:top w:val="single" w:sz="4" w:space="0" w:color="000000"/>
              <w:left w:val="single" w:sz="4" w:space="0" w:color="000000"/>
              <w:bottom w:val="single" w:sz="4" w:space="0" w:color="000000"/>
            </w:tcBorders>
          </w:tcPr>
          <w:p w14:paraId="1ABB4EB1" w14:textId="77777777" w:rsidR="0095748B" w:rsidRDefault="00000000">
            <w:pPr>
              <w:pBdr>
                <w:top w:val="nil"/>
                <w:left w:val="nil"/>
                <w:bottom w:val="nil"/>
                <w:right w:val="nil"/>
                <w:between w:val="nil"/>
              </w:pBdr>
              <w:spacing w:before="240" w:after="240"/>
              <w:rPr>
                <w:rFonts w:ascii="Arial" w:eastAsia="Arial" w:hAnsi="Arial" w:cs="Arial"/>
                <w:color w:val="000000"/>
                <w:sz w:val="20"/>
                <w:szCs w:val="20"/>
              </w:rPr>
            </w:pPr>
            <w:r>
              <w:rPr>
                <w:rFonts w:ascii="Arial" w:eastAsia="Arial" w:hAnsi="Arial" w:cs="Arial"/>
                <w:color w:val="44546A"/>
                <w:sz w:val="20"/>
                <w:szCs w:val="20"/>
              </w:rPr>
              <w:t>Measures for internal IT and IT security governance and management</w:t>
            </w:r>
          </w:p>
        </w:tc>
        <w:tc>
          <w:tcPr>
            <w:tcW w:w="6004" w:type="dxa"/>
            <w:tcBorders>
              <w:top w:val="single" w:sz="4" w:space="0" w:color="000000"/>
              <w:left w:val="single" w:sz="4" w:space="0" w:color="000000"/>
              <w:bottom w:val="single" w:sz="4" w:space="0" w:color="000000"/>
              <w:right w:val="single" w:sz="4" w:space="0" w:color="000000"/>
            </w:tcBorders>
          </w:tcPr>
          <w:p w14:paraId="1EC69493"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 xml:space="preserve">Employees are instructed to collect, process and use Personal Data only within the framework and for the purposes of their duties (e.g. service provision). At a technical level, multi-client capability includes separation of functions as well as appropriate separation of testing and production systems. </w:t>
            </w:r>
          </w:p>
          <w:p w14:paraId="433E8EB0"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 xml:space="preserve">The Controller’s Personal Data is stored in a way that logically separates it from other customer data. </w:t>
            </w:r>
          </w:p>
        </w:tc>
      </w:tr>
      <w:tr w:rsidR="0095748B" w14:paraId="0D9BCC91" w14:textId="77777777">
        <w:tc>
          <w:tcPr>
            <w:tcW w:w="3397" w:type="dxa"/>
            <w:tcBorders>
              <w:top w:val="single" w:sz="4" w:space="0" w:color="000000"/>
              <w:left w:val="single" w:sz="4" w:space="0" w:color="000000"/>
              <w:bottom w:val="single" w:sz="4" w:space="0" w:color="000000"/>
            </w:tcBorders>
          </w:tcPr>
          <w:p w14:paraId="387A8F77" w14:textId="77777777" w:rsidR="0095748B" w:rsidRDefault="00000000">
            <w:pPr>
              <w:pBdr>
                <w:top w:val="nil"/>
                <w:left w:val="nil"/>
                <w:bottom w:val="nil"/>
                <w:right w:val="nil"/>
                <w:between w:val="nil"/>
              </w:pBdr>
              <w:spacing w:before="240" w:after="240"/>
              <w:rPr>
                <w:rFonts w:ascii="Arial" w:eastAsia="Arial" w:hAnsi="Arial" w:cs="Arial"/>
                <w:color w:val="000000"/>
                <w:sz w:val="20"/>
                <w:szCs w:val="20"/>
              </w:rPr>
            </w:pPr>
            <w:r>
              <w:rPr>
                <w:rFonts w:ascii="Arial" w:eastAsia="Arial" w:hAnsi="Arial" w:cs="Arial"/>
                <w:color w:val="44546A"/>
                <w:sz w:val="20"/>
                <w:szCs w:val="20"/>
              </w:rPr>
              <w:lastRenderedPageBreak/>
              <w:t>Measures for certification/assurance of processes and products</w:t>
            </w:r>
          </w:p>
        </w:tc>
        <w:tc>
          <w:tcPr>
            <w:tcW w:w="6004" w:type="dxa"/>
            <w:tcBorders>
              <w:top w:val="single" w:sz="4" w:space="0" w:color="000000"/>
              <w:left w:val="single" w:sz="4" w:space="0" w:color="000000"/>
              <w:bottom w:val="single" w:sz="4" w:space="0" w:color="000000"/>
              <w:right w:val="single" w:sz="4" w:space="0" w:color="000000"/>
            </w:tcBorders>
          </w:tcPr>
          <w:p w14:paraId="50DE98C7" w14:textId="77777777" w:rsidR="0095748B" w:rsidRDefault="00000000">
            <w:pPr>
              <w:pBdr>
                <w:top w:val="nil"/>
                <w:left w:val="nil"/>
                <w:bottom w:val="nil"/>
                <w:right w:val="nil"/>
                <w:between w:val="nil"/>
              </w:pBdr>
              <w:spacing w:before="118" w:line="360" w:lineRule="auto"/>
              <w:ind w:right="236"/>
              <w:jc w:val="both"/>
              <w:rPr>
                <w:color w:val="000000"/>
                <w:sz w:val="18"/>
                <w:szCs w:val="18"/>
              </w:rPr>
            </w:pPr>
            <w:r>
              <w:rPr>
                <w:rFonts w:ascii="Arial" w:eastAsia="Arial" w:hAnsi="Arial" w:cs="Arial"/>
                <w:color w:val="000000"/>
                <w:sz w:val="20"/>
                <w:szCs w:val="20"/>
              </w:rPr>
              <w:t>The Processor utilises third party data centres that maintain current ISO 27001 certifications and/or SSAE 16 SOC 1 Type II or SOC 2 Attestation Reports. The Processor will not utilise third party data centres that do not maintain the aforementioned certifications and/or attestations, or other substantially similar or equivalent certifications and/or attestations.</w:t>
            </w:r>
          </w:p>
          <w:p w14:paraId="0697EE40"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Upon the Controller’s written request (no more than once in any 12 month period), the Processor shall provide within a reasonable time, a copy of the most recently completed certification and/or attestation reports (to the extent that to do so does not prejudice the overall security of the Services). Any audit report submitted to the Controller shall be treated as Confidential Information and subject to the confidentiality provisions of the Agreement between the parties</w:t>
            </w:r>
          </w:p>
        </w:tc>
      </w:tr>
      <w:tr w:rsidR="0095748B" w14:paraId="6330CF45" w14:textId="77777777">
        <w:tc>
          <w:tcPr>
            <w:tcW w:w="3397" w:type="dxa"/>
            <w:tcBorders>
              <w:top w:val="single" w:sz="4" w:space="0" w:color="000000"/>
              <w:left w:val="single" w:sz="4" w:space="0" w:color="000000"/>
              <w:bottom w:val="single" w:sz="4" w:space="0" w:color="000000"/>
            </w:tcBorders>
          </w:tcPr>
          <w:p w14:paraId="2D039CCF" w14:textId="77777777" w:rsidR="0095748B" w:rsidRDefault="00000000">
            <w:pPr>
              <w:pBdr>
                <w:top w:val="nil"/>
                <w:left w:val="nil"/>
                <w:bottom w:val="nil"/>
                <w:right w:val="nil"/>
                <w:between w:val="nil"/>
              </w:pBdr>
              <w:spacing w:before="240" w:after="240"/>
              <w:rPr>
                <w:rFonts w:ascii="Arial" w:eastAsia="Arial" w:hAnsi="Arial" w:cs="Arial"/>
                <w:color w:val="000000"/>
                <w:sz w:val="20"/>
                <w:szCs w:val="20"/>
              </w:rPr>
            </w:pPr>
            <w:r>
              <w:rPr>
                <w:rFonts w:ascii="Arial" w:eastAsia="Arial" w:hAnsi="Arial" w:cs="Arial"/>
                <w:color w:val="44546A"/>
                <w:sz w:val="20"/>
                <w:szCs w:val="20"/>
              </w:rPr>
              <w:t>Measures for ensuring data minimisation</w:t>
            </w:r>
          </w:p>
        </w:tc>
        <w:tc>
          <w:tcPr>
            <w:tcW w:w="6004" w:type="dxa"/>
            <w:tcBorders>
              <w:top w:val="single" w:sz="4" w:space="0" w:color="000000"/>
              <w:left w:val="single" w:sz="4" w:space="0" w:color="000000"/>
              <w:bottom w:val="single" w:sz="4" w:space="0" w:color="000000"/>
              <w:right w:val="single" w:sz="4" w:space="0" w:color="000000"/>
            </w:tcBorders>
          </w:tcPr>
          <w:p w14:paraId="7EA38BA2"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 xml:space="preserve">If Personal Data is no longer required for the purposes for which it was processed, it is deleted promptly. It should be noted that with each deletion, the Personal Data is only locked in the first instance and is then deleted for good with a certain delay. This is done in order to prevent accidental deletions or possible intentional damage. </w:t>
            </w:r>
          </w:p>
        </w:tc>
      </w:tr>
      <w:tr w:rsidR="0095748B" w14:paraId="5C1092D0" w14:textId="77777777">
        <w:tc>
          <w:tcPr>
            <w:tcW w:w="3397" w:type="dxa"/>
            <w:tcBorders>
              <w:top w:val="single" w:sz="4" w:space="0" w:color="000000"/>
              <w:left w:val="single" w:sz="4" w:space="0" w:color="000000"/>
              <w:bottom w:val="single" w:sz="4" w:space="0" w:color="000000"/>
            </w:tcBorders>
          </w:tcPr>
          <w:p w14:paraId="628C68D9" w14:textId="77777777" w:rsidR="0095748B" w:rsidRDefault="00000000">
            <w:pPr>
              <w:pBdr>
                <w:top w:val="nil"/>
                <w:left w:val="nil"/>
                <w:bottom w:val="nil"/>
                <w:right w:val="nil"/>
                <w:between w:val="nil"/>
              </w:pBdr>
              <w:spacing w:before="240" w:after="240"/>
              <w:rPr>
                <w:rFonts w:ascii="Arial" w:eastAsia="Arial" w:hAnsi="Arial" w:cs="Arial"/>
                <w:color w:val="000000"/>
                <w:sz w:val="20"/>
                <w:szCs w:val="20"/>
              </w:rPr>
            </w:pPr>
            <w:r>
              <w:rPr>
                <w:rFonts w:ascii="Arial" w:eastAsia="Arial" w:hAnsi="Arial" w:cs="Arial"/>
                <w:color w:val="44546A"/>
                <w:sz w:val="20"/>
                <w:szCs w:val="20"/>
              </w:rPr>
              <w:t>Measures for ensuring data quality</w:t>
            </w:r>
          </w:p>
        </w:tc>
        <w:tc>
          <w:tcPr>
            <w:tcW w:w="6004" w:type="dxa"/>
            <w:tcBorders>
              <w:top w:val="single" w:sz="4" w:space="0" w:color="000000"/>
              <w:left w:val="single" w:sz="4" w:space="0" w:color="000000"/>
              <w:bottom w:val="single" w:sz="4" w:space="0" w:color="000000"/>
              <w:right w:val="single" w:sz="4" w:space="0" w:color="000000"/>
            </w:tcBorders>
          </w:tcPr>
          <w:p w14:paraId="3F9F446B"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All of the data that we possess is provided by the Controller. The Processor does not assess the quality of the data provided by the Controller. The Processor provides reporting tools within its product to help the Controller understand and validate the data that is stored.</w:t>
            </w:r>
          </w:p>
        </w:tc>
      </w:tr>
      <w:tr w:rsidR="0095748B" w14:paraId="2CC0129D" w14:textId="77777777">
        <w:tc>
          <w:tcPr>
            <w:tcW w:w="3397" w:type="dxa"/>
            <w:tcBorders>
              <w:top w:val="single" w:sz="4" w:space="0" w:color="000000"/>
              <w:left w:val="single" w:sz="4" w:space="0" w:color="000000"/>
              <w:bottom w:val="single" w:sz="4" w:space="0" w:color="000000"/>
            </w:tcBorders>
          </w:tcPr>
          <w:p w14:paraId="02DD1C85" w14:textId="77777777" w:rsidR="0095748B" w:rsidRDefault="00000000">
            <w:pPr>
              <w:pBdr>
                <w:top w:val="nil"/>
                <w:left w:val="nil"/>
                <w:bottom w:val="nil"/>
                <w:right w:val="nil"/>
                <w:between w:val="nil"/>
              </w:pBdr>
              <w:spacing w:before="240" w:after="240"/>
              <w:rPr>
                <w:rFonts w:ascii="Arial" w:eastAsia="Arial" w:hAnsi="Arial" w:cs="Arial"/>
                <w:color w:val="000000"/>
                <w:sz w:val="20"/>
                <w:szCs w:val="20"/>
              </w:rPr>
            </w:pPr>
            <w:r>
              <w:rPr>
                <w:rFonts w:ascii="Arial" w:eastAsia="Arial" w:hAnsi="Arial" w:cs="Arial"/>
                <w:color w:val="44546A"/>
                <w:sz w:val="20"/>
                <w:szCs w:val="20"/>
              </w:rPr>
              <w:t>Measures for ensuring limited data retention</w:t>
            </w:r>
          </w:p>
        </w:tc>
        <w:tc>
          <w:tcPr>
            <w:tcW w:w="6004" w:type="dxa"/>
            <w:tcBorders>
              <w:top w:val="single" w:sz="4" w:space="0" w:color="000000"/>
              <w:left w:val="single" w:sz="4" w:space="0" w:color="000000"/>
              <w:bottom w:val="single" w:sz="4" w:space="0" w:color="000000"/>
              <w:right w:val="single" w:sz="4" w:space="0" w:color="000000"/>
            </w:tcBorders>
          </w:tcPr>
          <w:p w14:paraId="779BBD74" w14:textId="77777777" w:rsidR="0095748B" w:rsidRDefault="00000000">
            <w:pPr>
              <w:pBdr>
                <w:top w:val="nil"/>
                <w:left w:val="nil"/>
                <w:bottom w:val="nil"/>
                <w:right w:val="nil"/>
                <w:between w:val="nil"/>
              </w:pBdr>
              <w:tabs>
                <w:tab w:val="left" w:pos="918"/>
              </w:tabs>
              <w:spacing w:before="240" w:after="240"/>
              <w:jc w:val="both"/>
              <w:rPr>
                <w:rFonts w:ascii="Arial" w:eastAsia="Arial" w:hAnsi="Arial" w:cs="Arial"/>
                <w:color w:val="000000"/>
                <w:sz w:val="20"/>
                <w:szCs w:val="20"/>
              </w:rPr>
            </w:pPr>
            <w:r>
              <w:rPr>
                <w:rFonts w:ascii="Arial" w:eastAsia="Arial" w:hAnsi="Arial" w:cs="Arial"/>
                <w:color w:val="000000"/>
                <w:sz w:val="20"/>
                <w:szCs w:val="20"/>
              </w:rPr>
              <w:t>The Processor uses a data classification scheme for all data that it stores and our retention policy specifies how each type of data is retained. When a record with Personal Data is deleted then it will be permanently evicted from the Processor’s active databases. The data is retained in the Processor’s backups until they are rotated out by more recent backups per the data retention policy.</w:t>
            </w:r>
          </w:p>
        </w:tc>
      </w:tr>
      <w:tr w:rsidR="0095748B" w14:paraId="48672A88" w14:textId="77777777">
        <w:tc>
          <w:tcPr>
            <w:tcW w:w="3397" w:type="dxa"/>
            <w:tcBorders>
              <w:top w:val="single" w:sz="4" w:space="0" w:color="000000"/>
              <w:left w:val="single" w:sz="4" w:space="0" w:color="000000"/>
              <w:bottom w:val="single" w:sz="4" w:space="0" w:color="000000"/>
            </w:tcBorders>
          </w:tcPr>
          <w:p w14:paraId="5F96EB06" w14:textId="77777777" w:rsidR="0095748B" w:rsidRDefault="00000000">
            <w:pPr>
              <w:pBdr>
                <w:top w:val="nil"/>
                <w:left w:val="nil"/>
                <w:bottom w:val="nil"/>
                <w:right w:val="nil"/>
                <w:between w:val="nil"/>
              </w:pBdr>
              <w:spacing w:before="240" w:after="240"/>
              <w:rPr>
                <w:rFonts w:ascii="Arial" w:eastAsia="Arial" w:hAnsi="Arial" w:cs="Arial"/>
                <w:color w:val="000000"/>
                <w:sz w:val="20"/>
                <w:szCs w:val="20"/>
              </w:rPr>
            </w:pPr>
            <w:r>
              <w:rPr>
                <w:rFonts w:ascii="Arial" w:eastAsia="Arial" w:hAnsi="Arial" w:cs="Arial"/>
                <w:color w:val="44546A"/>
                <w:sz w:val="20"/>
                <w:szCs w:val="20"/>
              </w:rPr>
              <w:t>Measures for ensuring accountability</w:t>
            </w:r>
          </w:p>
        </w:tc>
        <w:tc>
          <w:tcPr>
            <w:tcW w:w="6004" w:type="dxa"/>
            <w:tcBorders>
              <w:top w:val="single" w:sz="4" w:space="0" w:color="000000"/>
              <w:left w:val="single" w:sz="4" w:space="0" w:color="000000"/>
              <w:bottom w:val="single" w:sz="4" w:space="0" w:color="000000"/>
              <w:right w:val="single" w:sz="4" w:space="0" w:color="000000"/>
            </w:tcBorders>
          </w:tcPr>
          <w:p w14:paraId="3BC324CA"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All employees that handle sensitive data must acknowledge the information security policies. A disciplinary policy is in place for employees that do not adhere to information security policies.</w:t>
            </w:r>
          </w:p>
        </w:tc>
      </w:tr>
      <w:tr w:rsidR="0095748B" w14:paraId="459C6C31" w14:textId="77777777">
        <w:tc>
          <w:tcPr>
            <w:tcW w:w="3397" w:type="dxa"/>
            <w:tcBorders>
              <w:top w:val="single" w:sz="4" w:space="0" w:color="000000"/>
              <w:left w:val="single" w:sz="4" w:space="0" w:color="000000"/>
              <w:bottom w:val="single" w:sz="4" w:space="0" w:color="000000"/>
            </w:tcBorders>
          </w:tcPr>
          <w:p w14:paraId="38D77262" w14:textId="77777777" w:rsidR="0095748B" w:rsidRDefault="00000000">
            <w:pPr>
              <w:pBdr>
                <w:top w:val="nil"/>
                <w:left w:val="nil"/>
                <w:bottom w:val="nil"/>
                <w:right w:val="nil"/>
                <w:between w:val="nil"/>
              </w:pBdr>
              <w:spacing w:before="240" w:after="240"/>
              <w:rPr>
                <w:rFonts w:ascii="Arial" w:eastAsia="Arial" w:hAnsi="Arial" w:cs="Arial"/>
                <w:color w:val="000000"/>
                <w:sz w:val="20"/>
                <w:szCs w:val="20"/>
              </w:rPr>
            </w:pPr>
            <w:r>
              <w:rPr>
                <w:rFonts w:ascii="Arial" w:eastAsia="Arial" w:hAnsi="Arial" w:cs="Arial"/>
                <w:color w:val="44546A"/>
                <w:sz w:val="20"/>
                <w:szCs w:val="20"/>
              </w:rPr>
              <w:t>Measures for allowing data portability and ensuring erasure</w:t>
            </w:r>
          </w:p>
        </w:tc>
        <w:tc>
          <w:tcPr>
            <w:tcW w:w="6004" w:type="dxa"/>
            <w:tcBorders>
              <w:top w:val="single" w:sz="4" w:space="0" w:color="000000"/>
              <w:left w:val="single" w:sz="4" w:space="0" w:color="000000"/>
              <w:bottom w:val="single" w:sz="4" w:space="0" w:color="000000"/>
              <w:right w:val="single" w:sz="4" w:space="0" w:color="000000"/>
            </w:tcBorders>
          </w:tcPr>
          <w:p w14:paraId="3C4BDE50"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The Services have built-in tools that allows the Controller to export and permanently erase data.</w:t>
            </w:r>
          </w:p>
        </w:tc>
      </w:tr>
      <w:tr w:rsidR="0095748B" w14:paraId="5ABB46E5" w14:textId="77777777">
        <w:tc>
          <w:tcPr>
            <w:tcW w:w="3397" w:type="dxa"/>
            <w:tcBorders>
              <w:top w:val="single" w:sz="4" w:space="0" w:color="000000"/>
              <w:left w:val="single" w:sz="4" w:space="0" w:color="000000"/>
              <w:bottom w:val="single" w:sz="4" w:space="0" w:color="000000"/>
            </w:tcBorders>
          </w:tcPr>
          <w:p w14:paraId="1CEF786F"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44546A"/>
                <w:sz w:val="20"/>
                <w:szCs w:val="20"/>
              </w:rPr>
              <w:t>Measures to be taken by the (Sub-) processor to be able to provide assistance to the Controller (and, for transfers from a Processor to a Sub-processor, to the Data Exporter).</w:t>
            </w:r>
          </w:p>
        </w:tc>
        <w:tc>
          <w:tcPr>
            <w:tcW w:w="6004" w:type="dxa"/>
            <w:tcBorders>
              <w:top w:val="single" w:sz="4" w:space="0" w:color="000000"/>
              <w:left w:val="single" w:sz="4" w:space="0" w:color="000000"/>
              <w:bottom w:val="single" w:sz="4" w:space="0" w:color="000000"/>
              <w:right w:val="single" w:sz="4" w:space="0" w:color="000000"/>
            </w:tcBorders>
          </w:tcPr>
          <w:p w14:paraId="29EBEBA1"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 xml:space="preserve">The transfer of Personal Data to a third party (e.g. customers, sub-contractors, service providers) is only made if a corresponding contract exists, and only for the specific purposes. If Personal Data is transferred outside the EEA, the Processor provides that an adequate level of data protection exists at the target location or organisation in accordance with the European Union's data </w:t>
            </w:r>
            <w:r>
              <w:rPr>
                <w:rFonts w:ascii="Arial" w:eastAsia="Arial" w:hAnsi="Arial" w:cs="Arial"/>
                <w:color w:val="000000"/>
                <w:sz w:val="20"/>
                <w:szCs w:val="20"/>
              </w:rPr>
              <w:lastRenderedPageBreak/>
              <w:t>protection requirements, e.g. by employing contracts based on the EU SCCs.</w:t>
            </w:r>
          </w:p>
        </w:tc>
      </w:tr>
    </w:tbl>
    <w:p w14:paraId="5D9B9D00" w14:textId="77777777" w:rsidR="0095748B" w:rsidRDefault="0095748B">
      <w:pPr>
        <w:pBdr>
          <w:top w:val="nil"/>
          <w:left w:val="nil"/>
          <w:bottom w:val="nil"/>
          <w:right w:val="nil"/>
          <w:between w:val="nil"/>
        </w:pBdr>
        <w:spacing w:before="240" w:after="240"/>
        <w:jc w:val="both"/>
        <w:rPr>
          <w:rFonts w:ascii="Arial" w:eastAsia="Arial" w:hAnsi="Arial" w:cs="Arial"/>
          <w:color w:val="000000"/>
          <w:sz w:val="20"/>
          <w:szCs w:val="20"/>
        </w:rPr>
      </w:pPr>
    </w:p>
    <w:p w14:paraId="35E2F2BA" w14:textId="77777777" w:rsidR="0095748B" w:rsidRDefault="00000000">
      <w:pPr>
        <w:pBdr>
          <w:top w:val="nil"/>
          <w:left w:val="nil"/>
          <w:bottom w:val="nil"/>
          <w:right w:val="nil"/>
          <w:between w:val="nil"/>
        </w:pBdr>
        <w:spacing w:before="240" w:after="240"/>
        <w:jc w:val="both"/>
        <w:rPr>
          <w:rFonts w:ascii="Arial" w:eastAsia="Arial" w:hAnsi="Arial" w:cs="Arial"/>
          <w:color w:val="000000"/>
          <w:sz w:val="20"/>
          <w:szCs w:val="20"/>
        </w:rPr>
      </w:pPr>
      <w:r>
        <w:br w:type="column"/>
      </w:r>
    </w:p>
    <w:p w14:paraId="5E86885C" w14:textId="77777777" w:rsidR="0095748B" w:rsidRDefault="0095748B">
      <w:pPr>
        <w:tabs>
          <w:tab w:val="left" w:pos="455"/>
        </w:tabs>
        <w:rPr>
          <w:rFonts w:ascii="Arial" w:eastAsia="Arial" w:hAnsi="Arial" w:cs="Arial"/>
          <w:sz w:val="20"/>
          <w:szCs w:val="20"/>
        </w:rPr>
      </w:pPr>
    </w:p>
    <w:p w14:paraId="6A2A1380" w14:textId="77777777" w:rsidR="0095748B" w:rsidRDefault="00000000">
      <w:pPr>
        <w:spacing w:after="120"/>
        <w:jc w:val="center"/>
        <w:rPr>
          <w:rFonts w:ascii="Arial" w:eastAsia="Arial" w:hAnsi="Arial" w:cs="Arial"/>
          <w:b/>
          <w:sz w:val="20"/>
          <w:szCs w:val="20"/>
        </w:rPr>
      </w:pPr>
      <w:r>
        <w:rPr>
          <w:rFonts w:ascii="Arial" w:eastAsia="Arial" w:hAnsi="Arial" w:cs="Arial"/>
          <w:b/>
          <w:sz w:val="20"/>
          <w:szCs w:val="20"/>
        </w:rPr>
        <w:t>Exhibit C</w:t>
      </w:r>
    </w:p>
    <w:p w14:paraId="6B3B0CC9" w14:textId="77777777" w:rsidR="0095748B" w:rsidRDefault="0095748B">
      <w:pPr>
        <w:spacing w:after="120"/>
        <w:jc w:val="center"/>
        <w:rPr>
          <w:rFonts w:ascii="Arial" w:eastAsia="Arial" w:hAnsi="Arial" w:cs="Arial"/>
          <w:b/>
          <w:sz w:val="20"/>
          <w:szCs w:val="20"/>
          <w:u w:val="single"/>
        </w:rPr>
      </w:pPr>
    </w:p>
    <w:p w14:paraId="53665B74" w14:textId="77777777" w:rsidR="0095748B" w:rsidRDefault="00000000">
      <w:pPr>
        <w:pStyle w:val="Heading2"/>
        <w:numPr>
          <w:ilvl w:val="1"/>
          <w:numId w:val="1"/>
        </w:numPr>
        <w:rPr>
          <w:rFonts w:ascii="Arial" w:eastAsia="Arial" w:hAnsi="Arial" w:cs="Arial"/>
          <w:b w:val="0"/>
          <w:sz w:val="20"/>
          <w:szCs w:val="20"/>
        </w:rPr>
      </w:pPr>
      <w:r>
        <w:rPr>
          <w:rFonts w:ascii="Arial" w:eastAsia="Arial" w:hAnsi="Arial" w:cs="Arial"/>
          <w:sz w:val="20"/>
          <w:szCs w:val="20"/>
        </w:rPr>
        <w:t>International Data Transfer Addendum to the EU Commission Standard Contractual Clauses</w:t>
      </w:r>
    </w:p>
    <w:p w14:paraId="18CF424A" w14:textId="77777777" w:rsidR="0095748B" w:rsidRDefault="00000000">
      <w:pPr>
        <w:pBdr>
          <w:bottom w:val="single" w:sz="4" w:space="16" w:color="003768"/>
        </w:pBdr>
        <w:spacing w:before="200" w:after="360"/>
        <w:rPr>
          <w:rFonts w:ascii="Arial" w:eastAsia="Arial" w:hAnsi="Arial" w:cs="Arial"/>
          <w:b/>
          <w:color w:val="54534A"/>
          <w:sz w:val="20"/>
          <w:szCs w:val="20"/>
        </w:rPr>
      </w:pPr>
      <w:r>
        <w:rPr>
          <w:rFonts w:ascii="Arial" w:eastAsia="Arial" w:hAnsi="Arial" w:cs="Arial"/>
          <w:b/>
          <w:color w:val="54534A"/>
          <w:sz w:val="20"/>
          <w:szCs w:val="20"/>
        </w:rPr>
        <w:t>VERSION B1.0, in force 21 March 2022</w:t>
      </w:r>
    </w:p>
    <w:p w14:paraId="622EDFDB" w14:textId="77777777" w:rsidR="0095748B" w:rsidRDefault="00000000">
      <w:pPr>
        <w:rPr>
          <w:rFonts w:ascii="Arial" w:eastAsia="Arial" w:hAnsi="Arial" w:cs="Arial"/>
          <w:sz w:val="20"/>
          <w:szCs w:val="20"/>
        </w:rPr>
      </w:pPr>
      <w:r>
        <w:rPr>
          <w:rFonts w:ascii="Arial" w:eastAsia="Arial" w:hAnsi="Arial" w:cs="Arial"/>
          <w:sz w:val="20"/>
          <w:szCs w:val="20"/>
        </w:rPr>
        <w:t>This Addendum has been issued by the Information Commissioner for Parties making Restricted Transfers. The Information Commissioner considers that it provides Appropriate Safeguards for Restricted Transfers when it is entered into as a legally binding contract.</w:t>
      </w:r>
    </w:p>
    <w:p w14:paraId="3B4EBFA2" w14:textId="77777777" w:rsidR="0095748B" w:rsidRDefault="00000000">
      <w:pPr>
        <w:pStyle w:val="Heading2"/>
        <w:numPr>
          <w:ilvl w:val="1"/>
          <w:numId w:val="1"/>
        </w:numPr>
        <w:rPr>
          <w:rFonts w:ascii="Arial" w:eastAsia="Arial" w:hAnsi="Arial" w:cs="Arial"/>
          <w:sz w:val="20"/>
          <w:szCs w:val="20"/>
        </w:rPr>
      </w:pPr>
      <w:r>
        <w:rPr>
          <w:rFonts w:ascii="Arial" w:eastAsia="Arial" w:hAnsi="Arial" w:cs="Arial"/>
          <w:sz w:val="20"/>
          <w:szCs w:val="20"/>
        </w:rPr>
        <w:t>Part 1: Tables</w:t>
      </w:r>
    </w:p>
    <w:p w14:paraId="571A72FB" w14:textId="77777777" w:rsidR="0095748B" w:rsidRDefault="0095748B"/>
    <w:p w14:paraId="2CB9EBD0" w14:textId="77777777" w:rsidR="0095748B" w:rsidRDefault="00000000">
      <w:pPr>
        <w:pStyle w:val="Heading3"/>
        <w:numPr>
          <w:ilvl w:val="2"/>
          <w:numId w:val="1"/>
        </w:numPr>
        <w:rPr>
          <w:rFonts w:ascii="Arial" w:eastAsia="Arial" w:hAnsi="Arial" w:cs="Arial"/>
          <w:sz w:val="20"/>
          <w:szCs w:val="20"/>
        </w:rPr>
      </w:pPr>
      <w:r>
        <w:rPr>
          <w:rFonts w:ascii="Arial" w:eastAsia="Arial" w:hAnsi="Arial" w:cs="Arial"/>
          <w:sz w:val="20"/>
          <w:szCs w:val="20"/>
        </w:rPr>
        <w:t>Table 1: Parties</w:t>
      </w:r>
    </w:p>
    <w:tbl>
      <w:tblPr>
        <w:tblStyle w:val="a5"/>
        <w:tblW w:w="9286" w:type="dxa"/>
        <w:tblInd w:w="-115" w:type="dxa"/>
        <w:tblBorders>
          <w:left w:val="single" w:sz="4" w:space="0" w:color="FFC000"/>
          <w:right w:val="single" w:sz="4" w:space="0" w:color="FFC000"/>
          <w:insideH w:val="single" w:sz="4" w:space="0" w:color="FFC000"/>
          <w:insideV w:val="single" w:sz="4" w:space="0" w:color="FFC000"/>
        </w:tblBorders>
        <w:tblLayout w:type="fixed"/>
        <w:tblLook w:val="0000" w:firstRow="0" w:lastRow="0" w:firstColumn="0" w:lastColumn="0" w:noHBand="0" w:noVBand="0"/>
      </w:tblPr>
      <w:tblGrid>
        <w:gridCol w:w="2186"/>
        <w:gridCol w:w="3549"/>
        <w:gridCol w:w="3551"/>
      </w:tblGrid>
      <w:tr w:rsidR="0095748B" w14:paraId="087A6DFF" w14:textId="77777777">
        <w:tc>
          <w:tcPr>
            <w:tcW w:w="2186" w:type="dxa"/>
            <w:tcBorders>
              <w:top w:val="single" w:sz="4" w:space="0" w:color="FFC000"/>
            </w:tcBorders>
            <w:shd w:val="clear" w:color="auto" w:fill="FFF9DD"/>
          </w:tcPr>
          <w:p w14:paraId="7398623A"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b/>
                <w:color w:val="003768"/>
                <w:sz w:val="20"/>
                <w:szCs w:val="20"/>
              </w:rPr>
            </w:pPr>
            <w:r>
              <w:rPr>
                <w:rFonts w:ascii="Arial" w:eastAsia="Arial" w:hAnsi="Arial" w:cs="Arial"/>
                <w:b/>
                <w:color w:val="003768"/>
                <w:sz w:val="20"/>
                <w:szCs w:val="20"/>
              </w:rPr>
              <w:t>Start date</w:t>
            </w:r>
          </w:p>
        </w:tc>
        <w:tc>
          <w:tcPr>
            <w:tcW w:w="7100" w:type="dxa"/>
            <w:gridSpan w:val="2"/>
            <w:tcBorders>
              <w:top w:val="single" w:sz="4" w:space="0" w:color="FFC000"/>
            </w:tcBorders>
          </w:tcPr>
          <w:p w14:paraId="37FD38D7"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The date set out in Annex I of the Approved EU SCCs.</w:t>
            </w:r>
          </w:p>
        </w:tc>
      </w:tr>
      <w:tr w:rsidR="0095748B" w14:paraId="1A129932" w14:textId="77777777">
        <w:tc>
          <w:tcPr>
            <w:tcW w:w="2186" w:type="dxa"/>
            <w:shd w:val="clear" w:color="auto" w:fill="FFF0A9"/>
            <w:vAlign w:val="center"/>
          </w:tcPr>
          <w:p w14:paraId="5BDA739A"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b/>
                <w:color w:val="003768"/>
                <w:sz w:val="20"/>
                <w:szCs w:val="20"/>
              </w:rPr>
            </w:pPr>
            <w:r>
              <w:rPr>
                <w:rFonts w:ascii="Arial" w:eastAsia="Arial" w:hAnsi="Arial" w:cs="Arial"/>
                <w:b/>
                <w:color w:val="003768"/>
                <w:sz w:val="20"/>
                <w:szCs w:val="20"/>
              </w:rPr>
              <w:t>The Parties</w:t>
            </w:r>
          </w:p>
        </w:tc>
        <w:tc>
          <w:tcPr>
            <w:tcW w:w="3549" w:type="dxa"/>
            <w:shd w:val="clear" w:color="auto" w:fill="FFF0A9"/>
            <w:vAlign w:val="center"/>
          </w:tcPr>
          <w:p w14:paraId="6691BBFA"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b/>
                <w:color w:val="003768"/>
                <w:sz w:val="20"/>
                <w:szCs w:val="20"/>
              </w:rPr>
            </w:pPr>
            <w:r>
              <w:rPr>
                <w:rFonts w:ascii="Arial" w:eastAsia="Arial" w:hAnsi="Arial" w:cs="Arial"/>
                <w:b/>
                <w:color w:val="003768"/>
                <w:sz w:val="20"/>
                <w:szCs w:val="20"/>
              </w:rPr>
              <w:t>Exporter (who sends the Restricted Transfer)</w:t>
            </w:r>
          </w:p>
        </w:tc>
        <w:tc>
          <w:tcPr>
            <w:tcW w:w="3551" w:type="dxa"/>
            <w:shd w:val="clear" w:color="auto" w:fill="FFF0A9"/>
            <w:vAlign w:val="center"/>
          </w:tcPr>
          <w:p w14:paraId="7FE54846"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b/>
                <w:color w:val="003768"/>
                <w:sz w:val="20"/>
                <w:szCs w:val="20"/>
              </w:rPr>
            </w:pPr>
            <w:r>
              <w:rPr>
                <w:rFonts w:ascii="Arial" w:eastAsia="Arial" w:hAnsi="Arial" w:cs="Arial"/>
                <w:b/>
                <w:color w:val="003768"/>
                <w:sz w:val="20"/>
                <w:szCs w:val="20"/>
              </w:rPr>
              <w:t>Importer (who receives the Restricted Transfer)</w:t>
            </w:r>
          </w:p>
        </w:tc>
      </w:tr>
      <w:tr w:rsidR="0095748B" w14:paraId="3CE09387" w14:textId="77777777">
        <w:tc>
          <w:tcPr>
            <w:tcW w:w="2186" w:type="dxa"/>
            <w:shd w:val="clear" w:color="auto" w:fill="FFF9DD"/>
          </w:tcPr>
          <w:p w14:paraId="568BDF11"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b/>
                <w:color w:val="003768"/>
                <w:sz w:val="20"/>
                <w:szCs w:val="20"/>
              </w:rPr>
            </w:pPr>
            <w:r>
              <w:rPr>
                <w:rFonts w:ascii="Arial" w:eastAsia="Arial" w:hAnsi="Arial" w:cs="Arial"/>
                <w:b/>
                <w:color w:val="003768"/>
                <w:sz w:val="20"/>
                <w:szCs w:val="20"/>
              </w:rPr>
              <w:t>Parties’ details</w:t>
            </w:r>
          </w:p>
        </w:tc>
        <w:tc>
          <w:tcPr>
            <w:tcW w:w="3549" w:type="dxa"/>
          </w:tcPr>
          <w:p w14:paraId="4EF96917"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Full legal name: the Customer  named in the Agreement.</w:t>
            </w:r>
          </w:p>
          <w:p w14:paraId="51416FFF"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Main address (if a company registered address): As set out in Annex I of the Approved EU SCCs.</w:t>
            </w:r>
          </w:p>
          <w:p w14:paraId="56725EE7"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Official registration number (if any) (company number or similar identifier): Where set out in the Agreement.</w:t>
            </w:r>
          </w:p>
        </w:tc>
        <w:tc>
          <w:tcPr>
            <w:tcW w:w="3551" w:type="dxa"/>
          </w:tcPr>
          <w:p w14:paraId="7CAFB8E1"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rPr>
              <w:t>the Silktide Entity that is party to the Agreement.</w:t>
            </w:r>
          </w:p>
          <w:p w14:paraId="7C547E54" w14:textId="77777777" w:rsidR="0048561D" w:rsidRDefault="00000000">
            <w:r>
              <w:rPr>
                <w:rFonts w:ascii="Arial" w:eastAsia="Arial" w:hAnsi="Arial" w:cs="Arial"/>
                <w:color w:val="000000"/>
                <w:sz w:val="20"/>
              </w:rPr>
              <w:t>If Silktide Limited: Wework, 1st Floor, The Barwick, 16 Barwick Street, Birmingham, B3 2NT, United Kingdom; Company number 04242422.</w:t>
            </w:r>
          </w:p>
          <w:p w14:paraId="507F609D" w14:textId="77777777" w:rsidR="0048561D" w:rsidRDefault="00000000">
            <w:r>
              <w:rPr>
                <w:rFonts w:ascii="Arial" w:eastAsia="Arial" w:hAnsi="Arial" w:cs="Arial"/>
                <w:color w:val="000000"/>
                <w:sz w:val="20"/>
              </w:rPr>
              <w:t>If Silktide ApS: Studiestræde 14, A, 1455 København K, Denmark; CVR 45514420.</w:t>
            </w:r>
          </w:p>
          <w:p w14:paraId="41AA49DE" w14:textId="77777777" w:rsidR="0048561D" w:rsidRDefault="00000000">
            <w:r>
              <w:rPr>
                <w:rFonts w:ascii="Arial" w:eastAsia="Arial" w:hAnsi="Arial" w:cs="Arial"/>
                <w:color w:val="000000"/>
                <w:sz w:val="20"/>
              </w:rPr>
              <w:t>If Silktide Pty Ltd: Suite 1, Level 3, 62 Lygon Street, Carlton South, VIC 3053, Australia; ACN 682 065 765, ABN 39 682 065 765.</w:t>
            </w:r>
          </w:p>
        </w:tc>
      </w:tr>
      <w:tr w:rsidR="0095748B" w14:paraId="756CDB19" w14:textId="77777777">
        <w:tc>
          <w:tcPr>
            <w:tcW w:w="2186" w:type="dxa"/>
            <w:shd w:val="clear" w:color="auto" w:fill="FFF9DD"/>
          </w:tcPr>
          <w:p w14:paraId="0E887FA2"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b/>
                <w:color w:val="003768"/>
                <w:sz w:val="20"/>
                <w:szCs w:val="20"/>
              </w:rPr>
            </w:pPr>
            <w:r>
              <w:rPr>
                <w:rFonts w:ascii="Arial" w:eastAsia="Arial" w:hAnsi="Arial" w:cs="Arial"/>
                <w:b/>
                <w:color w:val="003768"/>
                <w:sz w:val="20"/>
                <w:szCs w:val="20"/>
              </w:rPr>
              <w:t>Key Contact</w:t>
            </w:r>
          </w:p>
        </w:tc>
        <w:tc>
          <w:tcPr>
            <w:tcW w:w="3549" w:type="dxa"/>
          </w:tcPr>
          <w:p w14:paraId="2595184F"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Full Name (optional): As set out in Annex I of the Approved EU SCCs.</w:t>
            </w:r>
          </w:p>
          <w:p w14:paraId="63D259DA"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Job Title: As set out in Annex I in the Approved EU SCCs</w:t>
            </w:r>
          </w:p>
          <w:p w14:paraId="17CDE128"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Contact details including email: As set out in Annex I the Approved EU SCCs.</w:t>
            </w:r>
          </w:p>
        </w:tc>
        <w:tc>
          <w:tcPr>
            <w:tcW w:w="3551" w:type="dxa"/>
          </w:tcPr>
          <w:p w14:paraId="504370A8"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Full Name (optional): Lee Percox</w:t>
            </w:r>
          </w:p>
          <w:p w14:paraId="4645AE8E"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Job Title: COO</w:t>
            </w:r>
          </w:p>
          <w:p w14:paraId="7A464909"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jc w:val="both"/>
              <w:rPr>
                <w:rFonts w:ascii="Arial" w:eastAsia="Arial" w:hAnsi="Arial" w:cs="Arial"/>
                <w:color w:val="000000"/>
                <w:sz w:val="20"/>
                <w:szCs w:val="20"/>
              </w:rPr>
            </w:pPr>
            <w:r>
              <w:rPr>
                <w:rFonts w:ascii="Arial" w:eastAsia="Arial" w:hAnsi="Arial" w:cs="Arial"/>
                <w:color w:val="000000"/>
                <w:sz w:val="20"/>
                <w:szCs w:val="20"/>
              </w:rPr>
              <w:t>Contact details including email: privacy@silktide.com</w:t>
            </w:r>
          </w:p>
        </w:tc>
      </w:tr>
      <w:tr w:rsidR="0095748B" w14:paraId="735C0CA3" w14:textId="77777777">
        <w:tc>
          <w:tcPr>
            <w:tcW w:w="2186" w:type="dxa"/>
            <w:tcBorders>
              <w:bottom w:val="single" w:sz="18" w:space="0" w:color="FFC000"/>
            </w:tcBorders>
            <w:shd w:val="clear" w:color="auto" w:fill="FFF9DD"/>
          </w:tcPr>
          <w:p w14:paraId="6C1E3F72"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b/>
                <w:color w:val="003768"/>
                <w:sz w:val="20"/>
                <w:szCs w:val="20"/>
              </w:rPr>
            </w:pPr>
            <w:r>
              <w:rPr>
                <w:rFonts w:ascii="Arial" w:eastAsia="Arial" w:hAnsi="Arial" w:cs="Arial"/>
                <w:b/>
                <w:color w:val="003768"/>
                <w:sz w:val="20"/>
                <w:szCs w:val="20"/>
              </w:rPr>
              <w:t>Signature (if required for the purposes of Section ‎2)</w:t>
            </w:r>
          </w:p>
        </w:tc>
        <w:tc>
          <w:tcPr>
            <w:tcW w:w="3549" w:type="dxa"/>
            <w:tcBorders>
              <w:bottom w:val="single" w:sz="18" w:space="0" w:color="FFC000"/>
            </w:tcBorders>
          </w:tcPr>
          <w:p w14:paraId="5F74F1DF"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See the Agreement.</w:t>
            </w:r>
          </w:p>
        </w:tc>
        <w:tc>
          <w:tcPr>
            <w:tcW w:w="3551" w:type="dxa"/>
            <w:tcBorders>
              <w:bottom w:val="single" w:sz="18" w:space="0" w:color="FFC000"/>
            </w:tcBorders>
          </w:tcPr>
          <w:p w14:paraId="246FE2C9"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See the Agreement.</w:t>
            </w:r>
          </w:p>
        </w:tc>
      </w:tr>
    </w:tbl>
    <w:p w14:paraId="2D5DBE54" w14:textId="77777777" w:rsidR="0095748B" w:rsidRDefault="0095748B">
      <w:pPr>
        <w:pStyle w:val="Heading3"/>
        <w:numPr>
          <w:ilvl w:val="2"/>
          <w:numId w:val="1"/>
        </w:numPr>
        <w:rPr>
          <w:rFonts w:ascii="Arial" w:eastAsia="Arial" w:hAnsi="Arial" w:cs="Arial"/>
          <w:sz w:val="20"/>
          <w:szCs w:val="20"/>
        </w:rPr>
      </w:pPr>
    </w:p>
    <w:p w14:paraId="005B72C3" w14:textId="77777777" w:rsidR="0095748B" w:rsidRDefault="00000000">
      <w:pPr>
        <w:pStyle w:val="Heading3"/>
        <w:numPr>
          <w:ilvl w:val="2"/>
          <w:numId w:val="1"/>
        </w:numPr>
        <w:rPr>
          <w:rFonts w:ascii="Arial" w:eastAsia="Arial" w:hAnsi="Arial" w:cs="Arial"/>
          <w:sz w:val="20"/>
          <w:szCs w:val="20"/>
        </w:rPr>
      </w:pPr>
      <w:r>
        <w:rPr>
          <w:rFonts w:ascii="Arial" w:eastAsia="Arial" w:hAnsi="Arial" w:cs="Arial"/>
          <w:sz w:val="20"/>
          <w:szCs w:val="20"/>
        </w:rPr>
        <w:t>Table 2: Selected SCCs, Modules and Selected Clauses</w:t>
      </w:r>
    </w:p>
    <w:tbl>
      <w:tblPr>
        <w:tblStyle w:val="a6"/>
        <w:tblW w:w="9292" w:type="dxa"/>
        <w:tblInd w:w="-115" w:type="dxa"/>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Layout w:type="fixed"/>
        <w:tblLook w:val="0000" w:firstRow="0" w:lastRow="0" w:firstColumn="0" w:lastColumn="0" w:noHBand="0" w:noVBand="0"/>
      </w:tblPr>
      <w:tblGrid>
        <w:gridCol w:w="2184"/>
        <w:gridCol w:w="7108"/>
      </w:tblGrid>
      <w:tr w:rsidR="0095748B" w14:paraId="7F1FA807" w14:textId="77777777">
        <w:tc>
          <w:tcPr>
            <w:tcW w:w="2184" w:type="dxa"/>
            <w:shd w:val="clear" w:color="auto" w:fill="FFF9DD"/>
          </w:tcPr>
          <w:p w14:paraId="4F4E58F0"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b/>
                <w:color w:val="003768"/>
                <w:sz w:val="20"/>
                <w:szCs w:val="20"/>
              </w:rPr>
            </w:pPr>
            <w:r>
              <w:rPr>
                <w:rFonts w:ascii="Arial" w:eastAsia="Arial" w:hAnsi="Arial" w:cs="Arial"/>
                <w:b/>
                <w:color w:val="003768"/>
                <w:sz w:val="20"/>
                <w:szCs w:val="20"/>
              </w:rPr>
              <w:t>Addendum EU SCCs</w:t>
            </w:r>
          </w:p>
        </w:tc>
        <w:tc>
          <w:tcPr>
            <w:tcW w:w="7108" w:type="dxa"/>
          </w:tcPr>
          <w:p w14:paraId="0BB6CE94" w14:textId="77777777" w:rsidR="0095748B" w:rsidRDefault="00000000">
            <w:pPr>
              <w:pBdr>
                <w:top w:val="nil"/>
                <w:left w:val="nil"/>
                <w:bottom w:val="nil"/>
                <w:right w:val="nil"/>
                <w:between w:val="nil"/>
              </w:pBdr>
              <w:tabs>
                <w:tab w:val="left" w:pos="1843"/>
                <w:tab w:val="left" w:pos="3119"/>
                <w:tab w:val="left" w:pos="4253"/>
              </w:tabs>
              <w:spacing w:before="120" w:after="120" w:line="276" w:lineRule="auto"/>
              <w:ind w:left="261" w:hanging="261"/>
              <w:rPr>
                <w:rFonts w:ascii="Arial" w:eastAsia="Arial" w:hAnsi="Arial" w:cs="Arial"/>
                <w:color w:val="000000"/>
                <w:sz w:val="20"/>
                <w:szCs w:val="20"/>
              </w:rPr>
            </w:pPr>
            <w:r>
              <w:rPr>
                <w:rFonts w:ascii="Arial" w:eastAsia="Arial" w:hAnsi="Arial" w:cs="Arial"/>
                <w:color w:val="000000"/>
                <w:sz w:val="20"/>
                <w:szCs w:val="20"/>
              </w:rPr>
              <w:t xml:space="preserve">☒ the Approved EU SCCs, including the Appendix Information and with only the following modules, clauses or optional provisions of the Approved EU SCCs brought into effect for the purposes of this Addendum: </w:t>
            </w:r>
          </w:p>
        </w:tc>
      </w:tr>
    </w:tbl>
    <w:p w14:paraId="7C7E1172" w14:textId="77777777" w:rsidR="0095748B" w:rsidRDefault="0095748B">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7"/>
        <w:tblW w:w="9067" w:type="dxa"/>
        <w:tblInd w:w="-57" w:type="dxa"/>
        <w:tblBorders>
          <w:left w:val="single" w:sz="4" w:space="0" w:color="FFC000"/>
          <w:right w:val="single" w:sz="4" w:space="0" w:color="FFC000"/>
          <w:insideH w:val="single" w:sz="4" w:space="0" w:color="FFC000"/>
          <w:insideV w:val="single" w:sz="4" w:space="0" w:color="FFC000"/>
        </w:tblBorders>
        <w:tblLayout w:type="fixed"/>
        <w:tblLook w:val="0400" w:firstRow="0" w:lastRow="0" w:firstColumn="0" w:lastColumn="0" w:noHBand="0" w:noVBand="1"/>
      </w:tblPr>
      <w:tblGrid>
        <w:gridCol w:w="988"/>
        <w:gridCol w:w="1223"/>
        <w:gridCol w:w="1223"/>
        <w:gridCol w:w="1224"/>
        <w:gridCol w:w="1224"/>
        <w:gridCol w:w="3185"/>
      </w:tblGrid>
      <w:tr w:rsidR="0095748B" w14:paraId="4BF81C85" w14:textId="77777777">
        <w:tc>
          <w:tcPr>
            <w:tcW w:w="988" w:type="dxa"/>
            <w:tcBorders>
              <w:top w:val="single" w:sz="4" w:space="0" w:color="FFC000"/>
            </w:tcBorders>
          </w:tcPr>
          <w:p w14:paraId="0B703AD4"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Module</w:t>
            </w:r>
          </w:p>
        </w:tc>
        <w:tc>
          <w:tcPr>
            <w:tcW w:w="1223" w:type="dxa"/>
            <w:tcBorders>
              <w:top w:val="single" w:sz="4" w:space="0" w:color="FFC000"/>
            </w:tcBorders>
          </w:tcPr>
          <w:p w14:paraId="6B8D8698"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Module in operation</w:t>
            </w:r>
          </w:p>
        </w:tc>
        <w:tc>
          <w:tcPr>
            <w:tcW w:w="1223" w:type="dxa"/>
            <w:tcBorders>
              <w:top w:val="single" w:sz="4" w:space="0" w:color="FFC000"/>
            </w:tcBorders>
          </w:tcPr>
          <w:p w14:paraId="2F715C2C"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 xml:space="preserve">Clause 11 </w:t>
            </w:r>
            <w:r>
              <w:rPr>
                <w:rFonts w:ascii="Arial" w:eastAsia="Arial" w:hAnsi="Arial" w:cs="Arial"/>
                <w:color w:val="000000"/>
                <w:sz w:val="20"/>
                <w:szCs w:val="20"/>
              </w:rPr>
              <w:br/>
              <w:t>(Option)</w:t>
            </w:r>
          </w:p>
        </w:tc>
        <w:tc>
          <w:tcPr>
            <w:tcW w:w="1224" w:type="dxa"/>
            <w:tcBorders>
              <w:top w:val="single" w:sz="4" w:space="0" w:color="FFC000"/>
            </w:tcBorders>
          </w:tcPr>
          <w:p w14:paraId="2AE9CD7E"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Clause 9a General Authorisation</w:t>
            </w:r>
          </w:p>
        </w:tc>
        <w:tc>
          <w:tcPr>
            <w:tcW w:w="1224" w:type="dxa"/>
            <w:tcBorders>
              <w:top w:val="single" w:sz="4" w:space="0" w:color="FFC000"/>
            </w:tcBorders>
          </w:tcPr>
          <w:p w14:paraId="667D1584"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Clause 9a (Time period)</w:t>
            </w:r>
          </w:p>
        </w:tc>
        <w:tc>
          <w:tcPr>
            <w:tcW w:w="3185" w:type="dxa"/>
            <w:tcBorders>
              <w:top w:val="single" w:sz="4" w:space="0" w:color="FFC000"/>
            </w:tcBorders>
          </w:tcPr>
          <w:p w14:paraId="67AF5260"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Is personal data received from the Importer combined with personal data collected by the Exporter?</w:t>
            </w:r>
          </w:p>
        </w:tc>
      </w:tr>
      <w:tr w:rsidR="0095748B" w14:paraId="1CACC40B" w14:textId="77777777">
        <w:tc>
          <w:tcPr>
            <w:tcW w:w="988" w:type="dxa"/>
          </w:tcPr>
          <w:p w14:paraId="086AE686"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jc w:val="center"/>
              <w:rPr>
                <w:rFonts w:ascii="Arial" w:eastAsia="Arial" w:hAnsi="Arial" w:cs="Arial"/>
                <w:color w:val="000000"/>
                <w:sz w:val="20"/>
                <w:szCs w:val="20"/>
              </w:rPr>
            </w:pPr>
            <w:r>
              <w:rPr>
                <w:rFonts w:ascii="Arial" w:eastAsia="Arial" w:hAnsi="Arial" w:cs="Arial"/>
                <w:color w:val="000000"/>
                <w:sz w:val="20"/>
                <w:szCs w:val="20"/>
              </w:rPr>
              <w:t>1</w:t>
            </w:r>
          </w:p>
        </w:tc>
        <w:tc>
          <w:tcPr>
            <w:tcW w:w="1223" w:type="dxa"/>
          </w:tcPr>
          <w:p w14:paraId="081A4BBE"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no</w:t>
            </w:r>
          </w:p>
        </w:tc>
        <w:tc>
          <w:tcPr>
            <w:tcW w:w="1223" w:type="dxa"/>
          </w:tcPr>
          <w:p w14:paraId="73D8802D"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not used</w:t>
            </w:r>
          </w:p>
        </w:tc>
        <w:tc>
          <w:tcPr>
            <w:tcW w:w="1224" w:type="dxa"/>
            <w:shd w:val="clear" w:color="auto" w:fill="FFF0A9"/>
          </w:tcPr>
          <w:p w14:paraId="53BA3B7A" w14:textId="77777777" w:rsidR="0095748B" w:rsidRDefault="00000000">
            <w:p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w:t>
            </w:r>
          </w:p>
        </w:tc>
        <w:tc>
          <w:tcPr>
            <w:tcW w:w="1224" w:type="dxa"/>
            <w:shd w:val="clear" w:color="auto" w:fill="FFF0A9"/>
          </w:tcPr>
          <w:p w14:paraId="2A889E33"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w:t>
            </w:r>
          </w:p>
        </w:tc>
        <w:tc>
          <w:tcPr>
            <w:tcW w:w="3185" w:type="dxa"/>
            <w:shd w:val="clear" w:color="auto" w:fill="FFF0A9"/>
          </w:tcPr>
          <w:p w14:paraId="5629CD10"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w:t>
            </w:r>
          </w:p>
        </w:tc>
      </w:tr>
      <w:tr w:rsidR="0095748B" w14:paraId="24E5886B" w14:textId="77777777">
        <w:tc>
          <w:tcPr>
            <w:tcW w:w="988" w:type="dxa"/>
          </w:tcPr>
          <w:p w14:paraId="2AE99CAF"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jc w:val="center"/>
              <w:rPr>
                <w:rFonts w:ascii="Arial" w:eastAsia="Arial" w:hAnsi="Arial" w:cs="Arial"/>
                <w:color w:val="000000"/>
                <w:sz w:val="20"/>
                <w:szCs w:val="20"/>
              </w:rPr>
            </w:pPr>
            <w:r>
              <w:rPr>
                <w:rFonts w:ascii="Arial" w:eastAsia="Arial" w:hAnsi="Arial" w:cs="Arial"/>
                <w:color w:val="000000"/>
                <w:sz w:val="20"/>
                <w:szCs w:val="20"/>
              </w:rPr>
              <w:t>2</w:t>
            </w:r>
          </w:p>
        </w:tc>
        <w:tc>
          <w:tcPr>
            <w:tcW w:w="1223" w:type="dxa"/>
          </w:tcPr>
          <w:p w14:paraId="5F2CB260"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yes</w:t>
            </w:r>
          </w:p>
        </w:tc>
        <w:tc>
          <w:tcPr>
            <w:tcW w:w="1223" w:type="dxa"/>
          </w:tcPr>
          <w:p w14:paraId="50C3EDAF"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not used</w:t>
            </w:r>
          </w:p>
        </w:tc>
        <w:tc>
          <w:tcPr>
            <w:tcW w:w="1224" w:type="dxa"/>
          </w:tcPr>
          <w:p w14:paraId="07822021"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Yes</w:t>
            </w:r>
          </w:p>
        </w:tc>
        <w:tc>
          <w:tcPr>
            <w:tcW w:w="1224" w:type="dxa"/>
          </w:tcPr>
          <w:p w14:paraId="26174564"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30 days</w:t>
            </w:r>
          </w:p>
        </w:tc>
        <w:tc>
          <w:tcPr>
            <w:tcW w:w="3185" w:type="dxa"/>
            <w:shd w:val="clear" w:color="auto" w:fill="FFF0A9"/>
          </w:tcPr>
          <w:p w14:paraId="65CDD808"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w:t>
            </w:r>
          </w:p>
        </w:tc>
      </w:tr>
      <w:tr w:rsidR="0095748B" w14:paraId="093B1B4F" w14:textId="77777777">
        <w:tc>
          <w:tcPr>
            <w:tcW w:w="988" w:type="dxa"/>
          </w:tcPr>
          <w:p w14:paraId="14AF3EB9"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jc w:val="center"/>
              <w:rPr>
                <w:rFonts w:ascii="Arial" w:eastAsia="Arial" w:hAnsi="Arial" w:cs="Arial"/>
                <w:color w:val="000000"/>
                <w:sz w:val="20"/>
                <w:szCs w:val="20"/>
              </w:rPr>
            </w:pPr>
            <w:r>
              <w:rPr>
                <w:rFonts w:ascii="Arial" w:eastAsia="Arial" w:hAnsi="Arial" w:cs="Arial"/>
                <w:color w:val="000000"/>
                <w:sz w:val="20"/>
                <w:szCs w:val="20"/>
              </w:rPr>
              <w:t>3</w:t>
            </w:r>
          </w:p>
        </w:tc>
        <w:tc>
          <w:tcPr>
            <w:tcW w:w="1223" w:type="dxa"/>
          </w:tcPr>
          <w:p w14:paraId="22060E7C"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yes</w:t>
            </w:r>
          </w:p>
        </w:tc>
        <w:tc>
          <w:tcPr>
            <w:tcW w:w="1223" w:type="dxa"/>
          </w:tcPr>
          <w:p w14:paraId="5D666544"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not used</w:t>
            </w:r>
          </w:p>
        </w:tc>
        <w:tc>
          <w:tcPr>
            <w:tcW w:w="1224" w:type="dxa"/>
          </w:tcPr>
          <w:p w14:paraId="3C47C0B6"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Yes</w:t>
            </w:r>
          </w:p>
        </w:tc>
        <w:tc>
          <w:tcPr>
            <w:tcW w:w="1224" w:type="dxa"/>
          </w:tcPr>
          <w:p w14:paraId="27B8EC3F"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30 days</w:t>
            </w:r>
          </w:p>
        </w:tc>
        <w:tc>
          <w:tcPr>
            <w:tcW w:w="3185" w:type="dxa"/>
            <w:shd w:val="clear" w:color="auto" w:fill="FFF0A9"/>
          </w:tcPr>
          <w:p w14:paraId="7C4BF677" w14:textId="77777777" w:rsidR="0095748B" w:rsidRDefault="00000000">
            <w:p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w:t>
            </w:r>
          </w:p>
        </w:tc>
      </w:tr>
      <w:tr w:rsidR="0095748B" w14:paraId="7087E56D" w14:textId="77777777">
        <w:tc>
          <w:tcPr>
            <w:tcW w:w="988" w:type="dxa"/>
            <w:tcBorders>
              <w:bottom w:val="single" w:sz="18" w:space="0" w:color="FFC000"/>
            </w:tcBorders>
          </w:tcPr>
          <w:p w14:paraId="3B9364B7"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jc w:val="center"/>
              <w:rPr>
                <w:rFonts w:ascii="Arial" w:eastAsia="Arial" w:hAnsi="Arial" w:cs="Arial"/>
                <w:color w:val="000000"/>
                <w:sz w:val="20"/>
                <w:szCs w:val="20"/>
              </w:rPr>
            </w:pPr>
            <w:r>
              <w:rPr>
                <w:rFonts w:ascii="Arial" w:eastAsia="Arial" w:hAnsi="Arial" w:cs="Arial"/>
                <w:color w:val="000000"/>
                <w:sz w:val="20"/>
                <w:szCs w:val="20"/>
              </w:rPr>
              <w:t>4</w:t>
            </w:r>
          </w:p>
        </w:tc>
        <w:tc>
          <w:tcPr>
            <w:tcW w:w="1223" w:type="dxa"/>
            <w:tcBorders>
              <w:bottom w:val="single" w:sz="18" w:space="0" w:color="FFC000"/>
            </w:tcBorders>
          </w:tcPr>
          <w:p w14:paraId="208B911B"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yes</w:t>
            </w:r>
          </w:p>
        </w:tc>
        <w:tc>
          <w:tcPr>
            <w:tcW w:w="1223" w:type="dxa"/>
            <w:tcBorders>
              <w:bottom w:val="single" w:sz="18" w:space="0" w:color="FFC000"/>
            </w:tcBorders>
          </w:tcPr>
          <w:p w14:paraId="254A7D5F"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not used</w:t>
            </w:r>
          </w:p>
        </w:tc>
        <w:tc>
          <w:tcPr>
            <w:tcW w:w="1224" w:type="dxa"/>
            <w:tcBorders>
              <w:bottom w:val="single" w:sz="18" w:space="0" w:color="FFC000"/>
            </w:tcBorders>
            <w:shd w:val="clear" w:color="auto" w:fill="FFF0A9"/>
          </w:tcPr>
          <w:p w14:paraId="35B860B5"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w:t>
            </w:r>
          </w:p>
        </w:tc>
        <w:tc>
          <w:tcPr>
            <w:tcW w:w="1224" w:type="dxa"/>
            <w:tcBorders>
              <w:bottom w:val="single" w:sz="18" w:space="0" w:color="FFC000"/>
            </w:tcBorders>
            <w:shd w:val="clear" w:color="auto" w:fill="FFF0A9"/>
          </w:tcPr>
          <w:p w14:paraId="7D62C642"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w:t>
            </w:r>
          </w:p>
        </w:tc>
        <w:tc>
          <w:tcPr>
            <w:tcW w:w="3185" w:type="dxa"/>
            <w:tcBorders>
              <w:bottom w:val="single" w:sz="18" w:space="0" w:color="FFC000"/>
            </w:tcBorders>
          </w:tcPr>
          <w:p w14:paraId="515CCF42"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no</w:t>
            </w:r>
          </w:p>
        </w:tc>
      </w:tr>
    </w:tbl>
    <w:p w14:paraId="28796742" w14:textId="77777777" w:rsidR="0095748B" w:rsidRDefault="0095748B">
      <w:pPr>
        <w:pStyle w:val="Heading3"/>
        <w:numPr>
          <w:ilvl w:val="2"/>
          <w:numId w:val="1"/>
        </w:numPr>
        <w:rPr>
          <w:rFonts w:ascii="Arial" w:eastAsia="Arial" w:hAnsi="Arial" w:cs="Arial"/>
          <w:sz w:val="20"/>
          <w:szCs w:val="20"/>
        </w:rPr>
      </w:pPr>
    </w:p>
    <w:p w14:paraId="547B0E97" w14:textId="77777777" w:rsidR="0095748B" w:rsidRDefault="00000000">
      <w:pPr>
        <w:pStyle w:val="Heading3"/>
        <w:numPr>
          <w:ilvl w:val="2"/>
          <w:numId w:val="1"/>
        </w:numPr>
        <w:spacing w:before="120" w:after="120" w:line="240" w:lineRule="auto"/>
        <w:rPr>
          <w:rFonts w:ascii="Arial" w:eastAsia="Arial" w:hAnsi="Arial" w:cs="Arial"/>
          <w:sz w:val="20"/>
          <w:szCs w:val="20"/>
        </w:rPr>
      </w:pPr>
      <w:r>
        <w:rPr>
          <w:rFonts w:ascii="Arial" w:eastAsia="Arial" w:hAnsi="Arial" w:cs="Arial"/>
          <w:sz w:val="20"/>
          <w:szCs w:val="20"/>
        </w:rPr>
        <w:t>Table 3: Appendix Information</w:t>
      </w:r>
    </w:p>
    <w:p w14:paraId="0FEB98DD" w14:textId="77777777" w:rsidR="0095748B" w:rsidRDefault="00000000">
      <w:pPr>
        <w:spacing w:before="120" w:after="120"/>
        <w:rPr>
          <w:rFonts w:ascii="Arial" w:eastAsia="Arial" w:hAnsi="Arial" w:cs="Arial"/>
          <w:sz w:val="20"/>
          <w:szCs w:val="20"/>
        </w:rPr>
      </w:pPr>
      <w:r>
        <w:rPr>
          <w:rFonts w:ascii="Arial" w:eastAsia="Arial" w:hAnsi="Arial" w:cs="Arial"/>
          <w:sz w:val="20"/>
          <w:szCs w:val="20"/>
        </w:rPr>
        <w:t>“</w:t>
      </w:r>
      <w:r>
        <w:rPr>
          <w:rFonts w:ascii="Arial" w:eastAsia="Arial" w:hAnsi="Arial" w:cs="Arial"/>
          <w:b/>
          <w:sz w:val="20"/>
          <w:szCs w:val="20"/>
        </w:rPr>
        <w:t>Appendix Information</w:t>
      </w:r>
      <w:r>
        <w:rPr>
          <w:rFonts w:ascii="Arial" w:eastAsia="Arial" w:hAnsi="Arial" w:cs="Arial"/>
          <w:sz w:val="20"/>
          <w:szCs w:val="20"/>
        </w:rPr>
        <w:t>” means the information which must be provided for the selected modules as set out in the Appendix of the Approved EU SCCs (other than the Parties), and which for this Addendum is set out in:</w:t>
      </w:r>
    </w:p>
    <w:tbl>
      <w:tblPr>
        <w:tblStyle w:val="a8"/>
        <w:tblW w:w="9017" w:type="dxa"/>
        <w:tblInd w:w="-115" w:type="dxa"/>
        <w:tblBorders>
          <w:insideH w:val="single" w:sz="4" w:space="0" w:color="FFC000"/>
        </w:tblBorders>
        <w:tblLayout w:type="fixed"/>
        <w:tblLook w:val="0400" w:firstRow="0" w:lastRow="0" w:firstColumn="0" w:lastColumn="0" w:noHBand="0" w:noVBand="1"/>
      </w:tblPr>
      <w:tblGrid>
        <w:gridCol w:w="9017"/>
      </w:tblGrid>
      <w:tr w:rsidR="0095748B" w14:paraId="2265A8B7" w14:textId="77777777">
        <w:tc>
          <w:tcPr>
            <w:tcW w:w="9017" w:type="dxa"/>
          </w:tcPr>
          <w:p w14:paraId="5C54203D"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rPr>
                <w:rFonts w:ascii="Arial" w:eastAsia="Arial" w:hAnsi="Arial" w:cs="Arial"/>
                <w:color w:val="000000"/>
                <w:sz w:val="20"/>
                <w:szCs w:val="20"/>
              </w:rPr>
            </w:pPr>
            <w:r>
              <w:rPr>
                <w:rFonts w:ascii="Arial" w:eastAsia="Arial" w:hAnsi="Arial" w:cs="Arial"/>
                <w:color w:val="000000"/>
                <w:sz w:val="20"/>
                <w:szCs w:val="20"/>
              </w:rPr>
              <w:t>Annex 1A: List of Parties: As set out in Annex I of the Approved EU SCCs</w:t>
            </w:r>
          </w:p>
        </w:tc>
      </w:tr>
      <w:tr w:rsidR="0095748B" w14:paraId="5898C13D" w14:textId="77777777">
        <w:tc>
          <w:tcPr>
            <w:tcW w:w="9017" w:type="dxa"/>
          </w:tcPr>
          <w:p w14:paraId="3106452E"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rPr>
                <w:rFonts w:ascii="Arial" w:eastAsia="Arial" w:hAnsi="Arial" w:cs="Arial"/>
                <w:color w:val="000000"/>
                <w:sz w:val="20"/>
                <w:szCs w:val="20"/>
              </w:rPr>
            </w:pPr>
            <w:r>
              <w:rPr>
                <w:rFonts w:ascii="Arial" w:eastAsia="Arial" w:hAnsi="Arial" w:cs="Arial"/>
                <w:color w:val="000000"/>
                <w:sz w:val="20"/>
                <w:szCs w:val="20"/>
              </w:rPr>
              <w:t>Annex 1B: Description of Transfer: As set out in Annex I of the Approved EU SCCs</w:t>
            </w:r>
          </w:p>
        </w:tc>
      </w:tr>
      <w:tr w:rsidR="0095748B" w14:paraId="0BB49A78" w14:textId="77777777">
        <w:tc>
          <w:tcPr>
            <w:tcW w:w="9017" w:type="dxa"/>
          </w:tcPr>
          <w:p w14:paraId="773A1E98"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rPr>
                <w:rFonts w:ascii="Arial" w:eastAsia="Arial" w:hAnsi="Arial" w:cs="Arial"/>
                <w:color w:val="000000"/>
                <w:sz w:val="20"/>
                <w:szCs w:val="20"/>
              </w:rPr>
            </w:pPr>
            <w:r>
              <w:rPr>
                <w:rFonts w:ascii="Arial" w:eastAsia="Arial" w:hAnsi="Arial" w:cs="Arial"/>
                <w:color w:val="000000"/>
                <w:sz w:val="20"/>
                <w:szCs w:val="20"/>
              </w:rPr>
              <w:t>Annex II: Technical and organisational measures including technical and organisational measures to ensure the security of the data: As set out in Annex II of the Approved EU SCCs</w:t>
            </w:r>
          </w:p>
        </w:tc>
      </w:tr>
    </w:tbl>
    <w:p w14:paraId="2A969AA1" w14:textId="77777777" w:rsidR="0095748B" w:rsidRDefault="0095748B">
      <w:pPr>
        <w:pStyle w:val="Heading3"/>
        <w:numPr>
          <w:ilvl w:val="2"/>
          <w:numId w:val="1"/>
        </w:numPr>
        <w:spacing w:before="120" w:after="120" w:line="240" w:lineRule="auto"/>
        <w:rPr>
          <w:rFonts w:ascii="Arial" w:eastAsia="Arial" w:hAnsi="Arial" w:cs="Arial"/>
          <w:sz w:val="20"/>
          <w:szCs w:val="20"/>
        </w:rPr>
      </w:pPr>
    </w:p>
    <w:p w14:paraId="6EB6CC55" w14:textId="77777777" w:rsidR="0095748B" w:rsidRDefault="00000000">
      <w:pPr>
        <w:pStyle w:val="Heading3"/>
        <w:numPr>
          <w:ilvl w:val="2"/>
          <w:numId w:val="1"/>
        </w:numPr>
        <w:spacing w:before="120" w:after="120" w:line="240" w:lineRule="auto"/>
        <w:rPr>
          <w:rFonts w:ascii="Arial" w:eastAsia="Arial" w:hAnsi="Arial" w:cs="Arial"/>
          <w:sz w:val="20"/>
          <w:szCs w:val="20"/>
        </w:rPr>
      </w:pPr>
      <w:r>
        <w:rPr>
          <w:rFonts w:ascii="Arial" w:eastAsia="Arial" w:hAnsi="Arial" w:cs="Arial"/>
          <w:sz w:val="20"/>
          <w:szCs w:val="20"/>
        </w:rPr>
        <w:t>Table 4: Ending this Addendum when the Approved Addendum Changes</w:t>
      </w:r>
    </w:p>
    <w:tbl>
      <w:tblPr>
        <w:tblStyle w:val="a9"/>
        <w:tblW w:w="9235" w:type="dxa"/>
        <w:tblInd w:w="-115" w:type="dxa"/>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Layout w:type="fixed"/>
        <w:tblLook w:val="0400" w:firstRow="0" w:lastRow="0" w:firstColumn="0" w:lastColumn="0" w:noHBand="0" w:noVBand="1"/>
      </w:tblPr>
      <w:tblGrid>
        <w:gridCol w:w="1768"/>
        <w:gridCol w:w="7467"/>
      </w:tblGrid>
      <w:tr w:rsidR="0095748B" w14:paraId="11A90212" w14:textId="77777777">
        <w:tc>
          <w:tcPr>
            <w:tcW w:w="1768" w:type="dxa"/>
            <w:tcBorders>
              <w:bottom w:val="single" w:sz="18" w:space="0" w:color="FFC000"/>
            </w:tcBorders>
            <w:shd w:val="clear" w:color="auto" w:fill="FFF9DD"/>
          </w:tcPr>
          <w:p w14:paraId="75C9BB68"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rPr>
                <w:rFonts w:ascii="Arial" w:eastAsia="Arial" w:hAnsi="Arial" w:cs="Arial"/>
                <w:b/>
                <w:color w:val="000000"/>
                <w:sz w:val="20"/>
                <w:szCs w:val="20"/>
              </w:rPr>
            </w:pPr>
            <w:r>
              <w:rPr>
                <w:rFonts w:ascii="Arial" w:eastAsia="Arial" w:hAnsi="Arial" w:cs="Arial"/>
                <w:b/>
                <w:color w:val="003768"/>
                <w:sz w:val="20"/>
                <w:szCs w:val="20"/>
              </w:rPr>
              <w:t>Ending this Addendum when the Approved Addendum changes</w:t>
            </w:r>
          </w:p>
        </w:tc>
        <w:tc>
          <w:tcPr>
            <w:tcW w:w="7467" w:type="dxa"/>
            <w:tcBorders>
              <w:bottom w:val="single" w:sz="18" w:space="0" w:color="FFC000"/>
            </w:tcBorders>
          </w:tcPr>
          <w:p w14:paraId="57277F96"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rPr>
                <w:rFonts w:ascii="Arial" w:eastAsia="Arial" w:hAnsi="Arial" w:cs="Arial"/>
                <w:color w:val="000000"/>
                <w:sz w:val="20"/>
                <w:szCs w:val="20"/>
              </w:rPr>
            </w:pPr>
            <w:r>
              <w:rPr>
                <w:rFonts w:ascii="Arial" w:eastAsia="Arial" w:hAnsi="Arial" w:cs="Arial"/>
                <w:color w:val="000000"/>
                <w:sz w:val="20"/>
                <w:szCs w:val="20"/>
              </w:rPr>
              <w:t>Which Parties may end this Addendum as set out in Section ‎19:</w:t>
            </w:r>
          </w:p>
          <w:p w14:paraId="2156929B"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rPr>
                <w:rFonts w:ascii="Arial" w:eastAsia="Arial" w:hAnsi="Arial" w:cs="Arial"/>
                <w:color w:val="000000"/>
                <w:sz w:val="20"/>
                <w:szCs w:val="20"/>
              </w:rPr>
            </w:pPr>
            <w:r>
              <w:rPr>
                <w:rFonts w:ascii="Arial" w:eastAsia="Arial" w:hAnsi="Arial" w:cs="Arial"/>
                <w:color w:val="000000"/>
                <w:sz w:val="20"/>
                <w:szCs w:val="20"/>
              </w:rPr>
              <w:t>Importer</w:t>
            </w:r>
          </w:p>
          <w:p w14:paraId="11431A7B"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rPr>
                <w:rFonts w:ascii="Arial" w:eastAsia="Arial" w:hAnsi="Arial" w:cs="Arial"/>
                <w:color w:val="000000"/>
                <w:sz w:val="20"/>
                <w:szCs w:val="20"/>
              </w:rPr>
            </w:pPr>
            <w:r>
              <w:rPr>
                <w:rFonts w:ascii="Arial" w:eastAsia="Arial" w:hAnsi="Arial" w:cs="Arial"/>
                <w:color w:val="000000"/>
                <w:sz w:val="20"/>
                <w:szCs w:val="20"/>
              </w:rPr>
              <w:t>Exporter</w:t>
            </w:r>
          </w:p>
          <w:p w14:paraId="565B8FD0" w14:textId="77777777" w:rsidR="0095748B" w:rsidRDefault="0095748B">
            <w:pPr>
              <w:pBdr>
                <w:top w:val="nil"/>
                <w:left w:val="nil"/>
                <w:bottom w:val="nil"/>
                <w:right w:val="nil"/>
                <w:between w:val="nil"/>
              </w:pBdr>
              <w:tabs>
                <w:tab w:val="left" w:pos="1843"/>
                <w:tab w:val="left" w:pos="3119"/>
                <w:tab w:val="left" w:pos="4253"/>
              </w:tabs>
              <w:spacing w:before="120" w:after="120"/>
              <w:rPr>
                <w:rFonts w:ascii="Arial" w:eastAsia="Arial" w:hAnsi="Arial" w:cs="Arial"/>
                <w:color w:val="000000"/>
                <w:sz w:val="20"/>
                <w:szCs w:val="20"/>
              </w:rPr>
            </w:pPr>
          </w:p>
        </w:tc>
      </w:tr>
    </w:tbl>
    <w:p w14:paraId="1BC12869" w14:textId="77777777" w:rsidR="0095748B" w:rsidRDefault="0095748B">
      <w:pPr>
        <w:pStyle w:val="Heading2"/>
        <w:numPr>
          <w:ilvl w:val="1"/>
          <w:numId w:val="1"/>
        </w:numPr>
        <w:spacing w:after="120"/>
        <w:rPr>
          <w:rFonts w:ascii="Arial" w:eastAsia="Arial" w:hAnsi="Arial" w:cs="Arial"/>
          <w:sz w:val="20"/>
          <w:szCs w:val="20"/>
        </w:rPr>
      </w:pPr>
    </w:p>
    <w:p w14:paraId="5C37FCA4" w14:textId="77777777" w:rsidR="0095748B" w:rsidRDefault="00000000">
      <w:pPr>
        <w:pStyle w:val="Heading2"/>
        <w:numPr>
          <w:ilvl w:val="1"/>
          <w:numId w:val="1"/>
        </w:numPr>
        <w:spacing w:after="120"/>
        <w:rPr>
          <w:rFonts w:ascii="Arial" w:eastAsia="Arial" w:hAnsi="Arial" w:cs="Arial"/>
          <w:sz w:val="20"/>
          <w:szCs w:val="20"/>
        </w:rPr>
      </w:pPr>
      <w:r>
        <w:rPr>
          <w:rFonts w:ascii="Arial" w:eastAsia="Arial" w:hAnsi="Arial" w:cs="Arial"/>
          <w:sz w:val="20"/>
          <w:szCs w:val="20"/>
        </w:rPr>
        <w:t>Part 2: Mandatory Clauses</w:t>
      </w:r>
    </w:p>
    <w:p w14:paraId="6AE3F7C4" w14:textId="77777777" w:rsidR="0095748B" w:rsidRDefault="00000000">
      <w:pPr>
        <w:pStyle w:val="Heading3"/>
        <w:numPr>
          <w:ilvl w:val="2"/>
          <w:numId w:val="1"/>
        </w:numPr>
        <w:spacing w:before="120" w:after="120" w:line="240" w:lineRule="auto"/>
        <w:rPr>
          <w:rFonts w:ascii="Arial" w:eastAsia="Arial" w:hAnsi="Arial" w:cs="Arial"/>
          <w:sz w:val="20"/>
          <w:szCs w:val="20"/>
        </w:rPr>
      </w:pPr>
      <w:r>
        <w:rPr>
          <w:rFonts w:ascii="Arial" w:eastAsia="Arial" w:hAnsi="Arial" w:cs="Arial"/>
          <w:sz w:val="20"/>
          <w:szCs w:val="20"/>
        </w:rPr>
        <w:t>Entering into this Addendum</w:t>
      </w:r>
    </w:p>
    <w:p w14:paraId="46A51263" w14:textId="77777777" w:rsidR="0095748B" w:rsidRDefault="00000000">
      <w:pPr>
        <w:numPr>
          <w:ilvl w:val="0"/>
          <w:numId w:val="9"/>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Each Party agrees to be bound by the terms and conditions set out in this Addendum, in exchange for the other Party also agreeing to be bound by this Addendum.</w:t>
      </w:r>
    </w:p>
    <w:p w14:paraId="45BF474A" w14:textId="77777777" w:rsidR="0095748B" w:rsidRDefault="00000000">
      <w:pPr>
        <w:numPr>
          <w:ilvl w:val="0"/>
          <w:numId w:val="9"/>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Although Annex 1A and Clause 7 of the Approved EU SCCs require signature by the Parties, for the purpose of making Restricted Transfers, the Parties may enter into this Addendum in any way that makes them legally binding on the Parties and allows data subjects to enforce their rights as </w:t>
      </w:r>
      <w:r>
        <w:rPr>
          <w:rFonts w:ascii="Arial" w:eastAsia="Arial" w:hAnsi="Arial" w:cs="Arial"/>
          <w:color w:val="000000"/>
          <w:sz w:val="20"/>
          <w:szCs w:val="20"/>
        </w:rPr>
        <w:lastRenderedPageBreak/>
        <w:t>set out in this Addendum. Entering into this Addendum will have the same effect as signing the Approved EU SCCs and any part of the Approved EU SCCs.</w:t>
      </w:r>
    </w:p>
    <w:p w14:paraId="561ECE3A" w14:textId="77777777" w:rsidR="0095748B" w:rsidRDefault="00000000">
      <w:pPr>
        <w:pStyle w:val="Heading3"/>
        <w:numPr>
          <w:ilvl w:val="2"/>
          <w:numId w:val="1"/>
        </w:numPr>
        <w:rPr>
          <w:rFonts w:ascii="Arial" w:eastAsia="Arial" w:hAnsi="Arial" w:cs="Arial"/>
          <w:sz w:val="20"/>
          <w:szCs w:val="20"/>
        </w:rPr>
      </w:pPr>
      <w:r>
        <w:rPr>
          <w:rFonts w:ascii="Arial" w:eastAsia="Arial" w:hAnsi="Arial" w:cs="Arial"/>
          <w:sz w:val="20"/>
          <w:szCs w:val="20"/>
        </w:rPr>
        <w:t xml:space="preserve">Interpretation of this Addendum </w:t>
      </w:r>
    </w:p>
    <w:p w14:paraId="76DA79EF" w14:textId="77777777" w:rsidR="0095748B" w:rsidRDefault="00000000">
      <w:pPr>
        <w:numPr>
          <w:ilvl w:val="0"/>
          <w:numId w:val="9"/>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Where this Addendum uses terms that are defined in the Approved EU SCCs those terms shall have the same meaning as in the Approved EU SCCs. In addition, the following terms have the following meanings:</w:t>
      </w:r>
    </w:p>
    <w:tbl>
      <w:tblPr>
        <w:tblStyle w:val="aa"/>
        <w:tblW w:w="9292" w:type="dxa"/>
        <w:tblInd w:w="-115" w:type="dxa"/>
        <w:tblBorders>
          <w:left w:val="single" w:sz="4" w:space="0" w:color="FFC000"/>
          <w:right w:val="single" w:sz="4" w:space="0" w:color="FFC000"/>
          <w:insideH w:val="single" w:sz="4" w:space="0" w:color="FFC000"/>
        </w:tblBorders>
        <w:tblLayout w:type="fixed"/>
        <w:tblLook w:val="0000" w:firstRow="0" w:lastRow="0" w:firstColumn="0" w:lastColumn="0" w:noHBand="0" w:noVBand="0"/>
      </w:tblPr>
      <w:tblGrid>
        <w:gridCol w:w="2626"/>
        <w:gridCol w:w="6666"/>
      </w:tblGrid>
      <w:tr w:rsidR="0095748B" w14:paraId="5DC2CBE0" w14:textId="77777777">
        <w:tc>
          <w:tcPr>
            <w:tcW w:w="2626" w:type="dxa"/>
            <w:tcBorders>
              <w:top w:val="single" w:sz="4" w:space="0" w:color="FFC000"/>
              <w:right w:val="single" w:sz="4" w:space="0" w:color="FFC000"/>
            </w:tcBorders>
            <w:shd w:val="clear" w:color="auto" w:fill="FFF9DD"/>
          </w:tcPr>
          <w:p w14:paraId="3684B11F"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3768"/>
                <w:sz w:val="20"/>
                <w:szCs w:val="20"/>
              </w:rPr>
            </w:pPr>
            <w:r>
              <w:rPr>
                <w:rFonts w:ascii="Arial" w:eastAsia="Arial" w:hAnsi="Arial" w:cs="Arial"/>
                <w:color w:val="003768"/>
                <w:sz w:val="20"/>
                <w:szCs w:val="20"/>
              </w:rPr>
              <w:t xml:space="preserve">Addendum </w:t>
            </w:r>
          </w:p>
        </w:tc>
        <w:tc>
          <w:tcPr>
            <w:tcW w:w="6666" w:type="dxa"/>
            <w:tcBorders>
              <w:top w:val="single" w:sz="4" w:space="0" w:color="FFC000"/>
              <w:left w:val="single" w:sz="4" w:space="0" w:color="FFC000"/>
            </w:tcBorders>
          </w:tcPr>
          <w:p w14:paraId="1B8BD04D"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This International Data Transfer Addendum which is made up of this Addendum incorporating the Addendum EU SCCs.</w:t>
            </w:r>
          </w:p>
        </w:tc>
      </w:tr>
      <w:tr w:rsidR="0095748B" w14:paraId="50038296" w14:textId="77777777">
        <w:tc>
          <w:tcPr>
            <w:tcW w:w="2626" w:type="dxa"/>
            <w:tcBorders>
              <w:right w:val="single" w:sz="4" w:space="0" w:color="FFC000"/>
            </w:tcBorders>
            <w:shd w:val="clear" w:color="auto" w:fill="FFF9DD"/>
          </w:tcPr>
          <w:p w14:paraId="1514292B"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3768"/>
                <w:sz w:val="20"/>
                <w:szCs w:val="20"/>
              </w:rPr>
            </w:pPr>
            <w:r>
              <w:rPr>
                <w:rFonts w:ascii="Arial" w:eastAsia="Arial" w:hAnsi="Arial" w:cs="Arial"/>
                <w:color w:val="003768"/>
                <w:sz w:val="20"/>
                <w:szCs w:val="20"/>
              </w:rPr>
              <w:t>Addendum EU SCCs</w:t>
            </w:r>
          </w:p>
        </w:tc>
        <w:tc>
          <w:tcPr>
            <w:tcW w:w="6666" w:type="dxa"/>
            <w:tcBorders>
              <w:left w:val="single" w:sz="4" w:space="0" w:color="FFC000"/>
            </w:tcBorders>
          </w:tcPr>
          <w:p w14:paraId="417C1377"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The version(s) of the Approved EU SCCs which this Addendum is appended to, as set out in Table 2, including the Appendix Information.</w:t>
            </w:r>
          </w:p>
        </w:tc>
      </w:tr>
      <w:tr w:rsidR="0095748B" w14:paraId="62D1C53B" w14:textId="77777777">
        <w:tc>
          <w:tcPr>
            <w:tcW w:w="2626" w:type="dxa"/>
            <w:tcBorders>
              <w:right w:val="single" w:sz="4" w:space="0" w:color="FFC000"/>
            </w:tcBorders>
            <w:shd w:val="clear" w:color="auto" w:fill="FFF9DD"/>
          </w:tcPr>
          <w:p w14:paraId="31B5A3D6"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3768"/>
                <w:sz w:val="20"/>
                <w:szCs w:val="20"/>
              </w:rPr>
            </w:pPr>
            <w:r>
              <w:rPr>
                <w:rFonts w:ascii="Arial" w:eastAsia="Arial" w:hAnsi="Arial" w:cs="Arial"/>
                <w:color w:val="003768"/>
                <w:sz w:val="20"/>
                <w:szCs w:val="20"/>
              </w:rPr>
              <w:t>Appendix Information</w:t>
            </w:r>
          </w:p>
        </w:tc>
        <w:tc>
          <w:tcPr>
            <w:tcW w:w="6666" w:type="dxa"/>
            <w:tcBorders>
              <w:left w:val="single" w:sz="4" w:space="0" w:color="FFC000"/>
            </w:tcBorders>
          </w:tcPr>
          <w:p w14:paraId="205B1F70"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highlight w:val="green"/>
              </w:rPr>
            </w:pPr>
            <w:r>
              <w:rPr>
                <w:rFonts w:ascii="Arial" w:eastAsia="Arial" w:hAnsi="Arial" w:cs="Arial"/>
                <w:color w:val="000000"/>
                <w:sz w:val="20"/>
                <w:szCs w:val="20"/>
              </w:rPr>
              <w:t>As set out in Table ‎3.</w:t>
            </w:r>
          </w:p>
        </w:tc>
      </w:tr>
      <w:tr w:rsidR="0095748B" w14:paraId="346227D8" w14:textId="77777777">
        <w:tc>
          <w:tcPr>
            <w:tcW w:w="2626" w:type="dxa"/>
            <w:tcBorders>
              <w:right w:val="single" w:sz="4" w:space="0" w:color="FFC000"/>
            </w:tcBorders>
            <w:shd w:val="clear" w:color="auto" w:fill="FFF9DD"/>
          </w:tcPr>
          <w:p w14:paraId="24885575"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3768"/>
                <w:sz w:val="20"/>
                <w:szCs w:val="20"/>
              </w:rPr>
            </w:pPr>
            <w:r>
              <w:rPr>
                <w:rFonts w:ascii="Arial" w:eastAsia="Arial" w:hAnsi="Arial" w:cs="Arial"/>
                <w:color w:val="003768"/>
                <w:sz w:val="20"/>
                <w:szCs w:val="20"/>
              </w:rPr>
              <w:t>Appropriate Safeguards</w:t>
            </w:r>
          </w:p>
        </w:tc>
        <w:tc>
          <w:tcPr>
            <w:tcW w:w="6666" w:type="dxa"/>
            <w:tcBorders>
              <w:left w:val="single" w:sz="4" w:space="0" w:color="FFC000"/>
            </w:tcBorders>
          </w:tcPr>
          <w:p w14:paraId="1D4327FF"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The standard of protection over the personal data and of data subjects’ rights, which is required by UK Data Protection Laws when you are making a Restricted Transfer relying on standard data protection clauses under Article 46(2)(d) UK GDPR.</w:t>
            </w:r>
          </w:p>
        </w:tc>
      </w:tr>
      <w:tr w:rsidR="0095748B" w14:paraId="78039FDB" w14:textId="77777777">
        <w:tc>
          <w:tcPr>
            <w:tcW w:w="2626" w:type="dxa"/>
            <w:tcBorders>
              <w:right w:val="single" w:sz="4" w:space="0" w:color="FFC000"/>
            </w:tcBorders>
            <w:shd w:val="clear" w:color="auto" w:fill="FFF9DD"/>
          </w:tcPr>
          <w:p w14:paraId="349F6AE0"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3768"/>
                <w:sz w:val="20"/>
                <w:szCs w:val="20"/>
              </w:rPr>
            </w:pPr>
            <w:r>
              <w:rPr>
                <w:rFonts w:ascii="Arial" w:eastAsia="Arial" w:hAnsi="Arial" w:cs="Arial"/>
                <w:color w:val="003768"/>
                <w:sz w:val="20"/>
                <w:szCs w:val="20"/>
              </w:rPr>
              <w:t>Approved Addendum</w:t>
            </w:r>
          </w:p>
        </w:tc>
        <w:tc>
          <w:tcPr>
            <w:tcW w:w="6666" w:type="dxa"/>
            <w:tcBorders>
              <w:left w:val="single" w:sz="4" w:space="0" w:color="FFC000"/>
            </w:tcBorders>
            <w:vAlign w:val="center"/>
          </w:tcPr>
          <w:p w14:paraId="62D3F24F"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The template Addendum issued by the ICO and laid before Parliament in accordance with s119A of the Data Protection Act 2018 on 2 February 2022, as it is revised under Section ‎18.</w:t>
            </w:r>
          </w:p>
        </w:tc>
      </w:tr>
      <w:tr w:rsidR="0095748B" w14:paraId="40E62E90" w14:textId="77777777">
        <w:tc>
          <w:tcPr>
            <w:tcW w:w="2626" w:type="dxa"/>
            <w:tcBorders>
              <w:right w:val="single" w:sz="4" w:space="0" w:color="FFC000"/>
            </w:tcBorders>
            <w:shd w:val="clear" w:color="auto" w:fill="FFF9DD"/>
          </w:tcPr>
          <w:p w14:paraId="3E18889F"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3768"/>
                <w:sz w:val="20"/>
                <w:szCs w:val="20"/>
              </w:rPr>
            </w:pPr>
            <w:r>
              <w:rPr>
                <w:rFonts w:ascii="Arial" w:eastAsia="Arial" w:hAnsi="Arial" w:cs="Arial"/>
                <w:color w:val="003768"/>
                <w:sz w:val="20"/>
                <w:szCs w:val="20"/>
              </w:rPr>
              <w:t xml:space="preserve">Approved EU SCCs </w:t>
            </w:r>
          </w:p>
        </w:tc>
        <w:tc>
          <w:tcPr>
            <w:tcW w:w="6666" w:type="dxa"/>
            <w:tcBorders>
              <w:left w:val="single" w:sz="4" w:space="0" w:color="FFC000"/>
            </w:tcBorders>
          </w:tcPr>
          <w:p w14:paraId="4E3E2389"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The Standard Contractual Clauses set out in the Annex of Commission Implementing Decision (EU) 2021/914 of 4 June 2021.</w:t>
            </w:r>
          </w:p>
        </w:tc>
      </w:tr>
      <w:tr w:rsidR="0095748B" w14:paraId="3CD1620F" w14:textId="77777777">
        <w:tc>
          <w:tcPr>
            <w:tcW w:w="2626" w:type="dxa"/>
            <w:tcBorders>
              <w:right w:val="single" w:sz="4" w:space="0" w:color="FFC000"/>
            </w:tcBorders>
            <w:shd w:val="clear" w:color="auto" w:fill="FFF9DD"/>
          </w:tcPr>
          <w:p w14:paraId="59952473"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3768"/>
                <w:sz w:val="20"/>
                <w:szCs w:val="20"/>
              </w:rPr>
            </w:pPr>
            <w:r>
              <w:rPr>
                <w:rFonts w:ascii="Arial" w:eastAsia="Arial" w:hAnsi="Arial" w:cs="Arial"/>
                <w:color w:val="003768"/>
                <w:sz w:val="20"/>
                <w:szCs w:val="20"/>
              </w:rPr>
              <w:t>ICO</w:t>
            </w:r>
          </w:p>
        </w:tc>
        <w:tc>
          <w:tcPr>
            <w:tcW w:w="6666" w:type="dxa"/>
            <w:tcBorders>
              <w:left w:val="single" w:sz="4" w:space="0" w:color="FFC000"/>
            </w:tcBorders>
          </w:tcPr>
          <w:p w14:paraId="49A43D52"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The Information Commissioner.</w:t>
            </w:r>
          </w:p>
        </w:tc>
      </w:tr>
      <w:tr w:rsidR="0095748B" w14:paraId="6E161CBC" w14:textId="77777777">
        <w:tc>
          <w:tcPr>
            <w:tcW w:w="2626" w:type="dxa"/>
            <w:tcBorders>
              <w:right w:val="single" w:sz="4" w:space="0" w:color="FFC000"/>
            </w:tcBorders>
            <w:shd w:val="clear" w:color="auto" w:fill="FFF9DD"/>
          </w:tcPr>
          <w:p w14:paraId="47ABA92C"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3768"/>
                <w:sz w:val="20"/>
                <w:szCs w:val="20"/>
              </w:rPr>
            </w:pPr>
            <w:r>
              <w:rPr>
                <w:rFonts w:ascii="Arial" w:eastAsia="Arial" w:hAnsi="Arial" w:cs="Arial"/>
                <w:color w:val="003768"/>
                <w:sz w:val="20"/>
                <w:szCs w:val="20"/>
              </w:rPr>
              <w:t>Restricted Transfer</w:t>
            </w:r>
          </w:p>
        </w:tc>
        <w:tc>
          <w:tcPr>
            <w:tcW w:w="6666" w:type="dxa"/>
            <w:tcBorders>
              <w:left w:val="single" w:sz="4" w:space="0" w:color="FFC000"/>
            </w:tcBorders>
          </w:tcPr>
          <w:p w14:paraId="1F85E104"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A transfer which is covered by Chapter V of the UK GDPR.</w:t>
            </w:r>
          </w:p>
        </w:tc>
      </w:tr>
      <w:tr w:rsidR="0095748B" w14:paraId="475CE003" w14:textId="77777777">
        <w:tc>
          <w:tcPr>
            <w:tcW w:w="2626" w:type="dxa"/>
            <w:tcBorders>
              <w:right w:val="single" w:sz="4" w:space="0" w:color="FFC000"/>
            </w:tcBorders>
            <w:shd w:val="clear" w:color="auto" w:fill="FFF9DD"/>
          </w:tcPr>
          <w:p w14:paraId="615940AC"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3768"/>
                <w:sz w:val="20"/>
                <w:szCs w:val="20"/>
              </w:rPr>
            </w:pPr>
            <w:r>
              <w:rPr>
                <w:rFonts w:ascii="Arial" w:eastAsia="Arial" w:hAnsi="Arial" w:cs="Arial"/>
                <w:color w:val="003768"/>
                <w:sz w:val="20"/>
                <w:szCs w:val="20"/>
              </w:rPr>
              <w:t xml:space="preserve">UK </w:t>
            </w:r>
          </w:p>
        </w:tc>
        <w:tc>
          <w:tcPr>
            <w:tcW w:w="6666" w:type="dxa"/>
            <w:tcBorders>
              <w:left w:val="single" w:sz="4" w:space="0" w:color="FFC000"/>
            </w:tcBorders>
          </w:tcPr>
          <w:p w14:paraId="3812E160"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The United Kingdom of Great Britain and Northern Ireland.</w:t>
            </w:r>
          </w:p>
        </w:tc>
      </w:tr>
      <w:tr w:rsidR="0095748B" w14:paraId="58AA9EA0" w14:textId="77777777">
        <w:tc>
          <w:tcPr>
            <w:tcW w:w="2626" w:type="dxa"/>
            <w:tcBorders>
              <w:right w:val="single" w:sz="4" w:space="0" w:color="FFC000"/>
            </w:tcBorders>
            <w:shd w:val="clear" w:color="auto" w:fill="FFF9DD"/>
          </w:tcPr>
          <w:p w14:paraId="510ABF83"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3768"/>
                <w:sz w:val="20"/>
                <w:szCs w:val="20"/>
              </w:rPr>
            </w:pPr>
            <w:r>
              <w:rPr>
                <w:rFonts w:ascii="Arial" w:eastAsia="Arial" w:hAnsi="Arial" w:cs="Arial"/>
                <w:color w:val="003768"/>
                <w:sz w:val="20"/>
                <w:szCs w:val="20"/>
              </w:rPr>
              <w:t xml:space="preserve">UK Data Protection Laws </w:t>
            </w:r>
          </w:p>
        </w:tc>
        <w:tc>
          <w:tcPr>
            <w:tcW w:w="6666" w:type="dxa"/>
            <w:tcBorders>
              <w:left w:val="single" w:sz="4" w:space="0" w:color="FFC000"/>
            </w:tcBorders>
          </w:tcPr>
          <w:p w14:paraId="2461D810"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All laws relating to data protection, the processing of personal data, privacy and/or electronic communications in force from time to time in the UK, including the UK GDPR and the Data Protection Act 2018.</w:t>
            </w:r>
          </w:p>
        </w:tc>
      </w:tr>
      <w:tr w:rsidR="0095748B" w14:paraId="5611A623" w14:textId="77777777">
        <w:tc>
          <w:tcPr>
            <w:tcW w:w="2626" w:type="dxa"/>
            <w:tcBorders>
              <w:bottom w:val="single" w:sz="18" w:space="0" w:color="FFC000"/>
              <w:right w:val="single" w:sz="4" w:space="0" w:color="FFC000"/>
            </w:tcBorders>
            <w:shd w:val="clear" w:color="auto" w:fill="FFF9DD"/>
          </w:tcPr>
          <w:p w14:paraId="24943E89"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3768"/>
                <w:sz w:val="20"/>
                <w:szCs w:val="20"/>
              </w:rPr>
            </w:pPr>
            <w:r>
              <w:rPr>
                <w:rFonts w:ascii="Arial" w:eastAsia="Arial" w:hAnsi="Arial" w:cs="Arial"/>
                <w:color w:val="003768"/>
                <w:sz w:val="20"/>
                <w:szCs w:val="20"/>
              </w:rPr>
              <w:t xml:space="preserve">UK GDPR </w:t>
            </w:r>
          </w:p>
        </w:tc>
        <w:tc>
          <w:tcPr>
            <w:tcW w:w="6666" w:type="dxa"/>
            <w:tcBorders>
              <w:left w:val="single" w:sz="4" w:space="0" w:color="FFC000"/>
              <w:bottom w:val="single" w:sz="18" w:space="0" w:color="FFC000"/>
            </w:tcBorders>
          </w:tcPr>
          <w:p w14:paraId="662FE283" w14:textId="77777777" w:rsidR="0095748B" w:rsidRDefault="00000000">
            <w:pPr>
              <w:numPr>
                <w:ilvl w:val="0"/>
                <w:numId w:val="6"/>
              </w:numPr>
              <w:pBdr>
                <w:top w:val="nil"/>
                <w:left w:val="nil"/>
                <w:bottom w:val="nil"/>
                <w:right w:val="nil"/>
                <w:between w:val="nil"/>
              </w:pBdr>
              <w:tabs>
                <w:tab w:val="left" w:pos="1843"/>
                <w:tab w:val="left" w:pos="3119"/>
                <w:tab w:val="left" w:pos="4253"/>
              </w:tabs>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As defined in section 3 of the Data Protection Act 2018.</w:t>
            </w:r>
          </w:p>
        </w:tc>
      </w:tr>
    </w:tbl>
    <w:p w14:paraId="7E1F71CA" w14:textId="77777777" w:rsidR="0095748B" w:rsidRDefault="0095748B">
      <w:pPr>
        <w:ind w:left="360"/>
        <w:rPr>
          <w:rFonts w:ascii="Arial" w:eastAsia="Arial" w:hAnsi="Arial" w:cs="Arial"/>
          <w:sz w:val="20"/>
          <w:szCs w:val="20"/>
        </w:rPr>
      </w:pPr>
    </w:p>
    <w:p w14:paraId="175D53DD" w14:textId="77777777" w:rsidR="0095748B" w:rsidRDefault="00000000">
      <w:pPr>
        <w:numPr>
          <w:ilvl w:val="0"/>
          <w:numId w:val="9"/>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This Addendum must always be interpreted in a manner that is consistent with UK Data Protection Laws and so that it fulfils the Parties’ obligation to provide the Appropriate Safeguards. </w:t>
      </w:r>
    </w:p>
    <w:p w14:paraId="7266F3F6" w14:textId="77777777" w:rsidR="0095748B" w:rsidRDefault="00000000">
      <w:pPr>
        <w:numPr>
          <w:ilvl w:val="0"/>
          <w:numId w:val="9"/>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If the provisions included in the Addendum EU SCCs amend the Approved SCCs in any way which is not permitted under the Approved EU SCCs or the Approved Addendum, such </w:t>
      </w:r>
      <w:r>
        <w:rPr>
          <w:rFonts w:ascii="Arial" w:eastAsia="Arial" w:hAnsi="Arial" w:cs="Arial"/>
          <w:color w:val="000000"/>
          <w:sz w:val="20"/>
          <w:szCs w:val="20"/>
        </w:rPr>
        <w:lastRenderedPageBreak/>
        <w:t>amendment(s) will not be incorporated in this Addendum and the equivalent provision of the Approved EU SCCs will take their place.</w:t>
      </w:r>
    </w:p>
    <w:p w14:paraId="72AA2AC9" w14:textId="77777777" w:rsidR="0095748B" w:rsidRDefault="00000000">
      <w:pPr>
        <w:numPr>
          <w:ilvl w:val="0"/>
          <w:numId w:val="9"/>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If there is any inconsistency or conflict between UK Data Protection Laws and this Addendum, UK Data Protection Laws applies.</w:t>
      </w:r>
    </w:p>
    <w:p w14:paraId="05385BFB" w14:textId="77777777" w:rsidR="0095748B" w:rsidRDefault="00000000">
      <w:pPr>
        <w:numPr>
          <w:ilvl w:val="0"/>
          <w:numId w:val="9"/>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If the meaning of this Addendum is unclear or there is more than one meaning, the meaning which most closely aligns with UK Data Protection Laws applies. </w:t>
      </w:r>
    </w:p>
    <w:p w14:paraId="5E2D6281" w14:textId="77777777" w:rsidR="0095748B" w:rsidRDefault="00000000">
      <w:pPr>
        <w:numPr>
          <w:ilvl w:val="0"/>
          <w:numId w:val="9"/>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Any references to legislation (or specific provisions of legislation) means that legislation (or specific provision) as it may change over time. This includes where that legislation (or specific provision) has been consolidated, re-enacted and/or replaced after this Addendum has been entered into. </w:t>
      </w:r>
    </w:p>
    <w:p w14:paraId="0E28E328" w14:textId="77777777" w:rsidR="0095748B" w:rsidRDefault="00000000">
      <w:pPr>
        <w:pStyle w:val="Heading3"/>
        <w:numPr>
          <w:ilvl w:val="2"/>
          <w:numId w:val="1"/>
        </w:numPr>
        <w:rPr>
          <w:rFonts w:ascii="Arial" w:eastAsia="Arial" w:hAnsi="Arial" w:cs="Arial"/>
          <w:sz w:val="20"/>
          <w:szCs w:val="20"/>
        </w:rPr>
      </w:pPr>
      <w:r>
        <w:rPr>
          <w:rFonts w:ascii="Arial" w:eastAsia="Arial" w:hAnsi="Arial" w:cs="Arial"/>
          <w:sz w:val="20"/>
          <w:szCs w:val="20"/>
        </w:rPr>
        <w:t xml:space="preserve">Hierarchy </w:t>
      </w:r>
    </w:p>
    <w:p w14:paraId="519F2569" w14:textId="77777777" w:rsidR="0095748B" w:rsidRDefault="00000000">
      <w:pPr>
        <w:numPr>
          <w:ilvl w:val="0"/>
          <w:numId w:val="9"/>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Although Clause 5 of the Approved EU SCCs sets out that the Approved EU SCCs prevail over all related agreements between the parties, the parties agree that, for Restricted Transfers, the hierarchy in Section ‎10 will prevail.</w:t>
      </w:r>
    </w:p>
    <w:p w14:paraId="616B099B" w14:textId="77777777" w:rsidR="0095748B" w:rsidRDefault="00000000">
      <w:pPr>
        <w:numPr>
          <w:ilvl w:val="0"/>
          <w:numId w:val="9"/>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Where there is any inconsistency or conflict between the Approved Addendum and the Addendum EU SCCs (as applicable), the Approved Addendum overrides the Addendum EU SCCs, except where (and in so far as) the inconsistent or conflicting terms of the Addendum EU SCCs provides greater protection for data subjects, in which case those terms will override the Approved Addendum.</w:t>
      </w:r>
    </w:p>
    <w:p w14:paraId="625C5EB1" w14:textId="77777777" w:rsidR="0095748B" w:rsidRDefault="00000000">
      <w:pPr>
        <w:numPr>
          <w:ilvl w:val="0"/>
          <w:numId w:val="9"/>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Where this Addendum incorporates Addendum EU SCCs which have been entered into to protect transfers subject to the General Data Protection Regulation (EU) 2016/679 then the Parties acknowledge that nothing in this Addendum impacts those Addendum EU SCCs.</w:t>
      </w:r>
    </w:p>
    <w:p w14:paraId="0CA98EE9" w14:textId="77777777" w:rsidR="0095748B" w:rsidRDefault="00000000">
      <w:pPr>
        <w:pStyle w:val="Heading3"/>
        <w:numPr>
          <w:ilvl w:val="2"/>
          <w:numId w:val="1"/>
        </w:numPr>
        <w:rPr>
          <w:rFonts w:ascii="Arial" w:eastAsia="Arial" w:hAnsi="Arial" w:cs="Arial"/>
          <w:sz w:val="20"/>
          <w:szCs w:val="20"/>
        </w:rPr>
      </w:pPr>
      <w:r>
        <w:rPr>
          <w:rFonts w:ascii="Arial" w:eastAsia="Arial" w:hAnsi="Arial" w:cs="Arial"/>
          <w:sz w:val="20"/>
          <w:szCs w:val="20"/>
        </w:rPr>
        <w:t>Incorporation of and changes to the EU SCCs</w:t>
      </w:r>
    </w:p>
    <w:p w14:paraId="5FDC359E" w14:textId="77777777" w:rsidR="0095748B" w:rsidRDefault="00000000">
      <w:pPr>
        <w:numPr>
          <w:ilvl w:val="0"/>
          <w:numId w:val="9"/>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This Addendum incorporates the Addendum EU SCCs which are amended to the extent necessary so that:</w:t>
      </w:r>
    </w:p>
    <w:p w14:paraId="1E01D859" w14:textId="77777777" w:rsidR="0095748B" w:rsidRDefault="00000000">
      <w:pPr>
        <w:numPr>
          <w:ilvl w:val="1"/>
          <w:numId w:val="5"/>
        </w:numPr>
        <w:spacing w:after="200" w:line="276" w:lineRule="auto"/>
        <w:ind w:left="851" w:hanging="425"/>
        <w:rPr>
          <w:rFonts w:ascii="Arial" w:eastAsia="Arial" w:hAnsi="Arial" w:cs="Arial"/>
          <w:sz w:val="20"/>
          <w:szCs w:val="20"/>
        </w:rPr>
      </w:pPr>
      <w:r>
        <w:rPr>
          <w:rFonts w:ascii="Arial" w:eastAsia="Arial" w:hAnsi="Arial" w:cs="Arial"/>
          <w:sz w:val="20"/>
          <w:szCs w:val="20"/>
        </w:rPr>
        <w:t xml:space="preserve">together they operate for data transfers made by the data exporter to the data importer, to the extent that UK Data Protection Laws apply to the data exporter’s processing when making that data transfer, and they provide Appropriate Safeguards for those data transfers; </w:t>
      </w:r>
    </w:p>
    <w:p w14:paraId="47D5A207" w14:textId="77777777" w:rsidR="0095748B" w:rsidRDefault="00000000">
      <w:pPr>
        <w:numPr>
          <w:ilvl w:val="1"/>
          <w:numId w:val="5"/>
        </w:numPr>
        <w:spacing w:after="200" w:line="276" w:lineRule="auto"/>
        <w:ind w:left="851" w:hanging="425"/>
        <w:rPr>
          <w:rFonts w:ascii="Arial" w:eastAsia="Arial" w:hAnsi="Arial" w:cs="Arial"/>
          <w:sz w:val="20"/>
          <w:szCs w:val="20"/>
        </w:rPr>
      </w:pPr>
      <w:r>
        <w:rPr>
          <w:rFonts w:ascii="Arial" w:eastAsia="Arial" w:hAnsi="Arial" w:cs="Arial"/>
          <w:sz w:val="20"/>
          <w:szCs w:val="20"/>
        </w:rPr>
        <w:t>Sections ‎9 to ‎11 override Clause 5 (Hierarchy) of the Addendum EU SCCs; and</w:t>
      </w:r>
    </w:p>
    <w:p w14:paraId="69B5BC42" w14:textId="77777777" w:rsidR="0095748B" w:rsidRDefault="00000000">
      <w:pPr>
        <w:numPr>
          <w:ilvl w:val="1"/>
          <w:numId w:val="5"/>
        </w:numPr>
        <w:spacing w:after="200" w:line="276" w:lineRule="auto"/>
        <w:ind w:left="851" w:hanging="425"/>
        <w:jc w:val="both"/>
        <w:rPr>
          <w:rFonts w:ascii="Arial" w:eastAsia="Arial" w:hAnsi="Arial" w:cs="Arial"/>
          <w:sz w:val="20"/>
          <w:szCs w:val="20"/>
        </w:rPr>
      </w:pPr>
      <w:r>
        <w:rPr>
          <w:rFonts w:ascii="Arial" w:eastAsia="Arial" w:hAnsi="Arial" w:cs="Arial"/>
          <w:sz w:val="20"/>
          <w:szCs w:val="20"/>
        </w:rPr>
        <w:t>this Addendum (including the Addendum EU SCCs incorporated into it) is (1) governed by the laws of England and Wales and (2) any dispute arising from it is resolved by the courts of England and Wales, in each case unless the laws and/or courts of Scotland or Northern Ireland have been expressly selected by the Parties.</w:t>
      </w:r>
    </w:p>
    <w:p w14:paraId="7C042862" w14:textId="77777777" w:rsidR="0095748B" w:rsidRDefault="00000000">
      <w:pPr>
        <w:numPr>
          <w:ilvl w:val="0"/>
          <w:numId w:val="9"/>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Unless the Parties have agreed alternative amendments which meet the requirements of Section ‎12, the provisions of Section ‎15 will apply.</w:t>
      </w:r>
    </w:p>
    <w:p w14:paraId="468E33D5" w14:textId="77777777" w:rsidR="0095748B" w:rsidRDefault="00000000">
      <w:pPr>
        <w:numPr>
          <w:ilvl w:val="0"/>
          <w:numId w:val="9"/>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No amendments to the Approved EU SCCs other than to meet the requirements of Section ‎12 may be made.</w:t>
      </w:r>
    </w:p>
    <w:p w14:paraId="5867525C" w14:textId="77777777" w:rsidR="0095748B" w:rsidRDefault="00000000">
      <w:pPr>
        <w:numPr>
          <w:ilvl w:val="0"/>
          <w:numId w:val="9"/>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The following amendments to the Addendum EU SCCs (for the purpose of Section ‎12) are made: </w:t>
      </w:r>
    </w:p>
    <w:p w14:paraId="0ECF876A" w14:textId="77777777" w:rsidR="0095748B" w:rsidRDefault="00000000">
      <w:pPr>
        <w:numPr>
          <w:ilvl w:val="0"/>
          <w:numId w:val="7"/>
        </w:numPr>
        <w:spacing w:after="200" w:line="276" w:lineRule="auto"/>
        <w:ind w:hanging="360"/>
        <w:rPr>
          <w:rFonts w:ascii="Arial" w:eastAsia="Arial" w:hAnsi="Arial" w:cs="Arial"/>
          <w:sz w:val="20"/>
          <w:szCs w:val="20"/>
        </w:rPr>
      </w:pPr>
      <w:r>
        <w:rPr>
          <w:rFonts w:ascii="Arial" w:eastAsia="Arial" w:hAnsi="Arial" w:cs="Arial"/>
          <w:sz w:val="20"/>
          <w:szCs w:val="20"/>
        </w:rPr>
        <w:t>References to the “Clauses” means this Addendum, incorporating the Addendum EU SCCs;</w:t>
      </w:r>
    </w:p>
    <w:p w14:paraId="4A8AA7E0" w14:textId="77777777" w:rsidR="0095748B" w:rsidRDefault="00000000">
      <w:pPr>
        <w:numPr>
          <w:ilvl w:val="0"/>
          <w:numId w:val="7"/>
        </w:numPr>
        <w:spacing w:after="200" w:line="276" w:lineRule="auto"/>
        <w:ind w:hanging="360"/>
        <w:rPr>
          <w:rFonts w:ascii="Arial" w:eastAsia="Arial" w:hAnsi="Arial" w:cs="Arial"/>
          <w:sz w:val="20"/>
          <w:szCs w:val="20"/>
        </w:rPr>
      </w:pPr>
      <w:r>
        <w:rPr>
          <w:rFonts w:ascii="Arial" w:eastAsia="Arial" w:hAnsi="Arial" w:cs="Arial"/>
          <w:sz w:val="20"/>
          <w:szCs w:val="20"/>
        </w:rPr>
        <w:t>In Clause 2, delete the words:</w:t>
      </w:r>
    </w:p>
    <w:p w14:paraId="44572952" w14:textId="77777777" w:rsidR="0095748B" w:rsidRDefault="00000000">
      <w:pPr>
        <w:ind w:left="851"/>
        <w:rPr>
          <w:rFonts w:ascii="Arial" w:eastAsia="Arial" w:hAnsi="Arial" w:cs="Arial"/>
          <w:sz w:val="20"/>
          <w:szCs w:val="20"/>
        </w:rPr>
      </w:pPr>
      <w:r>
        <w:rPr>
          <w:rFonts w:ascii="Arial" w:eastAsia="Arial" w:hAnsi="Arial" w:cs="Arial"/>
          <w:sz w:val="20"/>
          <w:szCs w:val="20"/>
        </w:rPr>
        <w:lastRenderedPageBreak/>
        <w:t>“and, with respect to data transfers from controllers to processors and/or processors to processors, standard contractual clauses pursuant to Article 28(7) of Regulation (EU) 2016/679”;</w:t>
      </w:r>
    </w:p>
    <w:p w14:paraId="5ED90CAC" w14:textId="77777777" w:rsidR="0095748B" w:rsidRDefault="00000000">
      <w:pPr>
        <w:numPr>
          <w:ilvl w:val="0"/>
          <w:numId w:val="7"/>
        </w:numPr>
        <w:spacing w:after="200" w:line="276" w:lineRule="auto"/>
        <w:ind w:hanging="360"/>
        <w:rPr>
          <w:rFonts w:ascii="Arial" w:eastAsia="Arial" w:hAnsi="Arial" w:cs="Arial"/>
          <w:sz w:val="20"/>
          <w:szCs w:val="20"/>
        </w:rPr>
      </w:pPr>
      <w:r>
        <w:rPr>
          <w:rFonts w:ascii="Arial" w:eastAsia="Arial" w:hAnsi="Arial" w:cs="Arial"/>
          <w:sz w:val="20"/>
          <w:szCs w:val="20"/>
        </w:rPr>
        <w:t>Clause 6 (Description of the transfer(s)) is replaced with:</w:t>
      </w:r>
    </w:p>
    <w:p w14:paraId="47C8132D" w14:textId="77777777" w:rsidR="0095748B" w:rsidRDefault="00000000">
      <w:pPr>
        <w:ind w:left="851"/>
        <w:rPr>
          <w:rFonts w:ascii="Arial" w:eastAsia="Arial" w:hAnsi="Arial" w:cs="Arial"/>
          <w:sz w:val="20"/>
          <w:szCs w:val="20"/>
        </w:rPr>
      </w:pPr>
      <w:r>
        <w:rPr>
          <w:rFonts w:ascii="Arial" w:eastAsia="Arial" w:hAnsi="Arial" w:cs="Arial"/>
          <w:sz w:val="20"/>
          <w:szCs w:val="20"/>
        </w:rPr>
        <w:t>“The details of the transfers(s) and in particular the categories of personal data that are transferred and the purpose(s) for which they are transferred) are those specified in Annex I.B where UK Data Protection Laws apply to the data exporter’s processing when making that transfer.”;</w:t>
      </w:r>
    </w:p>
    <w:p w14:paraId="61948661" w14:textId="77777777" w:rsidR="0095748B" w:rsidRDefault="00000000">
      <w:pPr>
        <w:numPr>
          <w:ilvl w:val="0"/>
          <w:numId w:val="7"/>
        </w:numPr>
        <w:spacing w:after="200" w:line="276" w:lineRule="auto"/>
        <w:ind w:hanging="360"/>
        <w:rPr>
          <w:rFonts w:ascii="Arial" w:eastAsia="Arial" w:hAnsi="Arial" w:cs="Arial"/>
          <w:sz w:val="20"/>
          <w:szCs w:val="20"/>
        </w:rPr>
      </w:pPr>
      <w:r>
        <w:rPr>
          <w:rFonts w:ascii="Arial" w:eastAsia="Arial" w:hAnsi="Arial" w:cs="Arial"/>
          <w:sz w:val="20"/>
          <w:szCs w:val="20"/>
        </w:rPr>
        <w:t>Clause 8.7(i) of Module 1 is replaced with:</w:t>
      </w:r>
    </w:p>
    <w:p w14:paraId="19F419B2" w14:textId="77777777" w:rsidR="0095748B" w:rsidRDefault="00000000">
      <w:pPr>
        <w:ind w:left="851"/>
        <w:rPr>
          <w:rFonts w:ascii="Arial" w:eastAsia="Arial" w:hAnsi="Arial" w:cs="Arial"/>
          <w:sz w:val="20"/>
          <w:szCs w:val="20"/>
        </w:rPr>
      </w:pPr>
      <w:r>
        <w:rPr>
          <w:rFonts w:ascii="Arial" w:eastAsia="Arial" w:hAnsi="Arial" w:cs="Arial"/>
          <w:sz w:val="20"/>
          <w:szCs w:val="20"/>
        </w:rPr>
        <w:t>“it is to a country benefitting from adequacy regulations pursuant to Section 17A of the UK GDPR that covers the onward transfer”;</w:t>
      </w:r>
    </w:p>
    <w:p w14:paraId="448A8F11" w14:textId="77777777" w:rsidR="0095748B" w:rsidRDefault="00000000">
      <w:pPr>
        <w:numPr>
          <w:ilvl w:val="0"/>
          <w:numId w:val="7"/>
        </w:numPr>
        <w:spacing w:after="200" w:line="276" w:lineRule="auto"/>
        <w:ind w:hanging="360"/>
        <w:rPr>
          <w:rFonts w:ascii="Arial" w:eastAsia="Arial" w:hAnsi="Arial" w:cs="Arial"/>
          <w:sz w:val="20"/>
          <w:szCs w:val="20"/>
        </w:rPr>
      </w:pPr>
      <w:r>
        <w:rPr>
          <w:rFonts w:ascii="Arial" w:eastAsia="Arial" w:hAnsi="Arial" w:cs="Arial"/>
          <w:sz w:val="20"/>
          <w:szCs w:val="20"/>
        </w:rPr>
        <w:t>Clause 8.8(i) of Modules 2 and 3 is replaced with:</w:t>
      </w:r>
    </w:p>
    <w:p w14:paraId="129F4B02" w14:textId="77777777" w:rsidR="0095748B" w:rsidRDefault="00000000">
      <w:pPr>
        <w:ind w:left="851"/>
        <w:rPr>
          <w:rFonts w:ascii="Arial" w:eastAsia="Arial" w:hAnsi="Arial" w:cs="Arial"/>
          <w:sz w:val="20"/>
          <w:szCs w:val="20"/>
        </w:rPr>
      </w:pPr>
      <w:r>
        <w:rPr>
          <w:rFonts w:ascii="Arial" w:eastAsia="Arial" w:hAnsi="Arial" w:cs="Arial"/>
          <w:sz w:val="20"/>
          <w:szCs w:val="20"/>
        </w:rPr>
        <w:t>“the onward transfer is to a country benefitting from adequacy regulations pursuant to Section 17A of the UK GDPR that covers the onward transfer;”</w:t>
      </w:r>
    </w:p>
    <w:p w14:paraId="040D3850" w14:textId="77777777" w:rsidR="0095748B" w:rsidRDefault="00000000">
      <w:pPr>
        <w:numPr>
          <w:ilvl w:val="0"/>
          <w:numId w:val="7"/>
        </w:numPr>
        <w:spacing w:after="200" w:line="276" w:lineRule="auto"/>
        <w:ind w:hanging="360"/>
        <w:rPr>
          <w:rFonts w:ascii="Arial" w:eastAsia="Arial" w:hAnsi="Arial" w:cs="Arial"/>
          <w:sz w:val="20"/>
          <w:szCs w:val="20"/>
        </w:rPr>
      </w:pPr>
      <w:r>
        <w:rPr>
          <w:rFonts w:ascii="Arial" w:eastAsia="Arial" w:hAnsi="Arial" w:cs="Arial"/>
          <w:sz w:val="20"/>
          <w:szCs w:val="20"/>
        </w:rPr>
        <w:t>References to “Regulation (EU) 2016/679”, “Regulation (EU) 2016/679 of the European Parliament and of the Council of 27 April 2016 on the protection of natural persons with regard to the processing of personal data and on the free movement of such data (General Data Protection Regulation)” and “that Regulation” are all replaced by “UK Data Protection Laws”. References to specific Article(s) of “Regulation (EU) 2016/679” are replaced with the equivalent Article or Section of UK Data Protection Laws;</w:t>
      </w:r>
    </w:p>
    <w:p w14:paraId="0A360B77" w14:textId="77777777" w:rsidR="0095748B" w:rsidRDefault="00000000">
      <w:pPr>
        <w:numPr>
          <w:ilvl w:val="0"/>
          <w:numId w:val="7"/>
        </w:numPr>
        <w:spacing w:after="200" w:line="276" w:lineRule="auto"/>
        <w:ind w:hanging="360"/>
        <w:rPr>
          <w:rFonts w:ascii="Arial" w:eastAsia="Arial" w:hAnsi="Arial" w:cs="Arial"/>
          <w:sz w:val="20"/>
          <w:szCs w:val="20"/>
        </w:rPr>
      </w:pPr>
      <w:r>
        <w:rPr>
          <w:rFonts w:ascii="Arial" w:eastAsia="Arial" w:hAnsi="Arial" w:cs="Arial"/>
          <w:sz w:val="20"/>
          <w:szCs w:val="20"/>
        </w:rPr>
        <w:t>References to Regulation (EU) 2018/1725 are removed;</w:t>
      </w:r>
    </w:p>
    <w:p w14:paraId="566282C3" w14:textId="77777777" w:rsidR="0095748B" w:rsidRDefault="00000000">
      <w:pPr>
        <w:numPr>
          <w:ilvl w:val="0"/>
          <w:numId w:val="7"/>
        </w:numPr>
        <w:spacing w:after="200" w:line="276" w:lineRule="auto"/>
        <w:ind w:hanging="360"/>
        <w:rPr>
          <w:rFonts w:ascii="Arial" w:eastAsia="Arial" w:hAnsi="Arial" w:cs="Arial"/>
          <w:sz w:val="20"/>
          <w:szCs w:val="20"/>
        </w:rPr>
      </w:pPr>
      <w:r>
        <w:rPr>
          <w:rFonts w:ascii="Arial" w:eastAsia="Arial" w:hAnsi="Arial" w:cs="Arial"/>
          <w:sz w:val="20"/>
          <w:szCs w:val="20"/>
        </w:rPr>
        <w:t>References to the “European Union”, “Union”, “EU”, “EU Member State”, “Member State” and “EU or Member State” are all replaced with the “UK”;</w:t>
      </w:r>
    </w:p>
    <w:p w14:paraId="1C3F44F7" w14:textId="77777777" w:rsidR="0095748B" w:rsidRDefault="00000000">
      <w:pPr>
        <w:numPr>
          <w:ilvl w:val="0"/>
          <w:numId w:val="7"/>
        </w:numPr>
        <w:spacing w:after="200" w:line="276" w:lineRule="auto"/>
        <w:ind w:hanging="360"/>
        <w:rPr>
          <w:rFonts w:ascii="Arial" w:eastAsia="Arial" w:hAnsi="Arial" w:cs="Arial"/>
          <w:sz w:val="20"/>
          <w:szCs w:val="20"/>
        </w:rPr>
      </w:pPr>
      <w:r>
        <w:rPr>
          <w:rFonts w:ascii="Arial" w:eastAsia="Arial" w:hAnsi="Arial" w:cs="Arial"/>
          <w:sz w:val="20"/>
          <w:szCs w:val="20"/>
        </w:rPr>
        <w:t>The reference to “Clause 12(c)(i)” at Clause 10(b)(i) of Module one, is replaced with “Clause 11(c)(i)”;</w:t>
      </w:r>
    </w:p>
    <w:p w14:paraId="42456E34" w14:textId="77777777" w:rsidR="0095748B" w:rsidRDefault="00000000">
      <w:pPr>
        <w:numPr>
          <w:ilvl w:val="0"/>
          <w:numId w:val="7"/>
        </w:numPr>
        <w:spacing w:after="200" w:line="276" w:lineRule="auto"/>
        <w:ind w:hanging="360"/>
        <w:rPr>
          <w:rFonts w:ascii="Arial" w:eastAsia="Arial" w:hAnsi="Arial" w:cs="Arial"/>
          <w:sz w:val="20"/>
          <w:szCs w:val="20"/>
        </w:rPr>
      </w:pPr>
      <w:r>
        <w:rPr>
          <w:rFonts w:ascii="Arial" w:eastAsia="Arial" w:hAnsi="Arial" w:cs="Arial"/>
          <w:sz w:val="20"/>
          <w:szCs w:val="20"/>
        </w:rPr>
        <w:t xml:space="preserve">Clause 13(a) and Part C of Annex I are not used; </w:t>
      </w:r>
    </w:p>
    <w:p w14:paraId="7CA19CC0" w14:textId="77777777" w:rsidR="0095748B" w:rsidRDefault="00000000">
      <w:pPr>
        <w:numPr>
          <w:ilvl w:val="0"/>
          <w:numId w:val="7"/>
        </w:numPr>
        <w:spacing w:after="200" w:line="276" w:lineRule="auto"/>
        <w:ind w:hanging="360"/>
        <w:rPr>
          <w:rFonts w:ascii="Arial" w:eastAsia="Arial" w:hAnsi="Arial" w:cs="Arial"/>
          <w:sz w:val="20"/>
          <w:szCs w:val="20"/>
        </w:rPr>
      </w:pPr>
      <w:r>
        <w:rPr>
          <w:rFonts w:ascii="Arial" w:eastAsia="Arial" w:hAnsi="Arial" w:cs="Arial"/>
          <w:sz w:val="20"/>
          <w:szCs w:val="20"/>
        </w:rPr>
        <w:t>The “competent supervisory authority” and “supervisory authority” are both replaced with the “Information Commissioner”;</w:t>
      </w:r>
    </w:p>
    <w:p w14:paraId="5F07661D" w14:textId="77777777" w:rsidR="0095748B" w:rsidRDefault="00000000">
      <w:pPr>
        <w:numPr>
          <w:ilvl w:val="0"/>
          <w:numId w:val="7"/>
        </w:numPr>
        <w:spacing w:after="200" w:line="276" w:lineRule="auto"/>
        <w:ind w:hanging="360"/>
        <w:rPr>
          <w:rFonts w:ascii="Arial" w:eastAsia="Arial" w:hAnsi="Arial" w:cs="Arial"/>
          <w:sz w:val="20"/>
          <w:szCs w:val="20"/>
        </w:rPr>
      </w:pPr>
      <w:r>
        <w:rPr>
          <w:rFonts w:ascii="Arial" w:eastAsia="Arial" w:hAnsi="Arial" w:cs="Arial"/>
          <w:sz w:val="20"/>
          <w:szCs w:val="20"/>
        </w:rPr>
        <w:t>In Clause 16(e), subsection (i) is replaced with:</w:t>
      </w:r>
    </w:p>
    <w:p w14:paraId="39E543D2" w14:textId="77777777" w:rsidR="0095748B" w:rsidRDefault="00000000">
      <w:pPr>
        <w:spacing w:line="274" w:lineRule="auto"/>
        <w:ind w:left="851"/>
        <w:rPr>
          <w:rFonts w:ascii="Arial" w:eastAsia="Arial" w:hAnsi="Arial" w:cs="Arial"/>
          <w:sz w:val="20"/>
          <w:szCs w:val="20"/>
        </w:rPr>
      </w:pPr>
      <w:r>
        <w:rPr>
          <w:rFonts w:ascii="Arial" w:eastAsia="Arial" w:hAnsi="Arial" w:cs="Arial"/>
          <w:sz w:val="20"/>
          <w:szCs w:val="20"/>
        </w:rPr>
        <w:t>“the Secretary of State makes regulations pursuant to Section 17A of the Data Protection Act 2018 that cover the transfer of personal data to which these clauses apply;”;</w:t>
      </w:r>
    </w:p>
    <w:p w14:paraId="2B67AE99" w14:textId="77777777" w:rsidR="0095748B" w:rsidRDefault="00000000">
      <w:pPr>
        <w:numPr>
          <w:ilvl w:val="0"/>
          <w:numId w:val="7"/>
        </w:numPr>
        <w:spacing w:after="200" w:line="274" w:lineRule="auto"/>
        <w:ind w:hanging="360"/>
        <w:rPr>
          <w:rFonts w:ascii="Arial" w:eastAsia="Arial" w:hAnsi="Arial" w:cs="Arial"/>
          <w:sz w:val="20"/>
          <w:szCs w:val="20"/>
        </w:rPr>
      </w:pPr>
      <w:r>
        <w:rPr>
          <w:rFonts w:ascii="Arial" w:eastAsia="Arial" w:hAnsi="Arial" w:cs="Arial"/>
          <w:sz w:val="20"/>
          <w:szCs w:val="20"/>
        </w:rPr>
        <w:t>Clause 17 is replaced with:</w:t>
      </w:r>
    </w:p>
    <w:p w14:paraId="43A1FF38" w14:textId="77777777" w:rsidR="0095748B" w:rsidRDefault="00000000">
      <w:pPr>
        <w:spacing w:line="274" w:lineRule="auto"/>
        <w:ind w:left="851"/>
        <w:rPr>
          <w:rFonts w:ascii="Arial" w:eastAsia="Arial" w:hAnsi="Arial" w:cs="Arial"/>
          <w:sz w:val="20"/>
          <w:szCs w:val="20"/>
        </w:rPr>
      </w:pPr>
      <w:r>
        <w:rPr>
          <w:rFonts w:ascii="Arial" w:eastAsia="Arial" w:hAnsi="Arial" w:cs="Arial"/>
          <w:sz w:val="20"/>
          <w:szCs w:val="20"/>
        </w:rPr>
        <w:t>“These Clauses are governed by the laws of England and Wales.”;</w:t>
      </w:r>
    </w:p>
    <w:p w14:paraId="38C8E6CE" w14:textId="77777777" w:rsidR="0095748B" w:rsidRDefault="00000000">
      <w:pPr>
        <w:numPr>
          <w:ilvl w:val="0"/>
          <w:numId w:val="7"/>
        </w:numPr>
        <w:spacing w:after="200" w:line="276" w:lineRule="auto"/>
        <w:ind w:hanging="360"/>
        <w:rPr>
          <w:rFonts w:ascii="Arial" w:eastAsia="Arial" w:hAnsi="Arial" w:cs="Arial"/>
          <w:sz w:val="20"/>
          <w:szCs w:val="20"/>
        </w:rPr>
      </w:pPr>
      <w:r>
        <w:rPr>
          <w:rFonts w:ascii="Arial" w:eastAsia="Arial" w:hAnsi="Arial" w:cs="Arial"/>
          <w:sz w:val="20"/>
          <w:szCs w:val="20"/>
        </w:rPr>
        <w:t>Clause 18 is replaced with:</w:t>
      </w:r>
    </w:p>
    <w:p w14:paraId="0E4B300D" w14:textId="77777777" w:rsidR="0095748B" w:rsidRDefault="00000000">
      <w:pPr>
        <w:ind w:left="851"/>
        <w:rPr>
          <w:rFonts w:ascii="Arial" w:eastAsia="Arial" w:hAnsi="Arial" w:cs="Arial"/>
          <w:sz w:val="20"/>
          <w:szCs w:val="20"/>
        </w:rPr>
      </w:pPr>
      <w:r>
        <w:rPr>
          <w:rFonts w:ascii="Arial" w:eastAsia="Arial" w:hAnsi="Arial" w:cs="Arial"/>
          <w:sz w:val="20"/>
          <w:szCs w:val="20"/>
        </w:rPr>
        <w:t>“Any dispute arising from these Clauses shall be resolved by the courts of England and Wales. A data subject may also bring legal proceedings against the data exporter and/or data importer before the courts of any country in the UK. The Parties agree to submit themselves to the jurisdiction of such courts.”; and</w:t>
      </w:r>
    </w:p>
    <w:p w14:paraId="757F1393" w14:textId="77777777" w:rsidR="0095748B" w:rsidRDefault="00000000">
      <w:pPr>
        <w:numPr>
          <w:ilvl w:val="0"/>
          <w:numId w:val="7"/>
        </w:numPr>
        <w:spacing w:after="200" w:line="276" w:lineRule="auto"/>
        <w:ind w:hanging="360"/>
        <w:rPr>
          <w:rFonts w:ascii="Arial" w:eastAsia="Arial" w:hAnsi="Arial" w:cs="Arial"/>
          <w:sz w:val="20"/>
          <w:szCs w:val="20"/>
        </w:rPr>
      </w:pPr>
      <w:r>
        <w:rPr>
          <w:rFonts w:ascii="Arial" w:eastAsia="Arial" w:hAnsi="Arial" w:cs="Arial"/>
          <w:sz w:val="20"/>
          <w:szCs w:val="20"/>
        </w:rPr>
        <w:t xml:space="preserve">The footnotes to the Approved EU SCCs do not form part of the Addendum, except for footnotes 8, 9, 10 and 11. </w:t>
      </w:r>
    </w:p>
    <w:p w14:paraId="271ED8BA" w14:textId="77777777" w:rsidR="0095748B" w:rsidRDefault="00000000">
      <w:pPr>
        <w:pStyle w:val="Heading3"/>
        <w:numPr>
          <w:ilvl w:val="2"/>
          <w:numId w:val="1"/>
        </w:numPr>
        <w:rPr>
          <w:rFonts w:ascii="Arial" w:eastAsia="Arial" w:hAnsi="Arial" w:cs="Arial"/>
          <w:sz w:val="20"/>
          <w:szCs w:val="20"/>
        </w:rPr>
      </w:pPr>
      <w:r>
        <w:rPr>
          <w:rFonts w:ascii="Arial" w:eastAsia="Arial" w:hAnsi="Arial" w:cs="Arial"/>
          <w:sz w:val="20"/>
          <w:szCs w:val="20"/>
        </w:rPr>
        <w:t xml:space="preserve">Amendments to this Addendum </w:t>
      </w:r>
    </w:p>
    <w:p w14:paraId="656D27D1" w14:textId="77777777" w:rsidR="0095748B" w:rsidRDefault="00000000">
      <w:pPr>
        <w:numPr>
          <w:ilvl w:val="0"/>
          <w:numId w:val="9"/>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The Parties may agree to change Clauses 17 and/or 18 of the Addendum EU SCCs to refer to the laws and/or courts of Scotland or Northern Ireland.</w:t>
      </w:r>
    </w:p>
    <w:p w14:paraId="279D6B5F" w14:textId="77777777" w:rsidR="0095748B" w:rsidRDefault="00000000">
      <w:pPr>
        <w:numPr>
          <w:ilvl w:val="0"/>
          <w:numId w:val="9"/>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lastRenderedPageBreak/>
        <w:t>If the Parties wish to change the format of the information included in Part 1: Tables of the Approved Addendum, they may do so by agreeing to the change in writing, provided that the change does not reduce the Appropriate Safeguards.</w:t>
      </w:r>
    </w:p>
    <w:p w14:paraId="5D2CEB4F" w14:textId="77777777" w:rsidR="0095748B" w:rsidRDefault="00000000">
      <w:pPr>
        <w:numPr>
          <w:ilvl w:val="0"/>
          <w:numId w:val="9"/>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From time to time, the ICO may issue a revised Approved Addendum which: </w:t>
      </w:r>
    </w:p>
    <w:p w14:paraId="1F4C20B3" w14:textId="77777777" w:rsidR="0095748B" w:rsidRDefault="00000000">
      <w:pPr>
        <w:numPr>
          <w:ilvl w:val="0"/>
          <w:numId w:val="8"/>
        </w:numPr>
        <w:pBdr>
          <w:top w:val="nil"/>
          <w:left w:val="nil"/>
          <w:bottom w:val="nil"/>
          <w:right w:val="nil"/>
          <w:between w:val="nil"/>
        </w:pBdr>
        <w:spacing w:line="276" w:lineRule="auto"/>
        <w:ind w:left="851" w:hanging="425"/>
        <w:rPr>
          <w:rFonts w:ascii="Arial" w:eastAsia="Arial" w:hAnsi="Arial" w:cs="Arial"/>
          <w:color w:val="000000"/>
          <w:sz w:val="20"/>
          <w:szCs w:val="20"/>
        </w:rPr>
      </w:pPr>
      <w:r>
        <w:rPr>
          <w:rFonts w:ascii="Arial" w:eastAsia="Arial" w:hAnsi="Arial" w:cs="Arial"/>
          <w:color w:val="000000"/>
          <w:sz w:val="20"/>
          <w:szCs w:val="20"/>
        </w:rPr>
        <w:t>makes reasonable and proportionate changes to the Approved Addendum, including correcting errors in the Approved Addendum; and/or</w:t>
      </w:r>
    </w:p>
    <w:p w14:paraId="468F3530" w14:textId="77777777" w:rsidR="0095748B" w:rsidRDefault="00000000">
      <w:pPr>
        <w:numPr>
          <w:ilvl w:val="0"/>
          <w:numId w:val="8"/>
        </w:numPr>
        <w:pBdr>
          <w:top w:val="nil"/>
          <w:left w:val="nil"/>
          <w:bottom w:val="nil"/>
          <w:right w:val="nil"/>
          <w:between w:val="nil"/>
        </w:pBdr>
        <w:spacing w:after="200" w:line="276" w:lineRule="auto"/>
        <w:ind w:left="851" w:hanging="425"/>
        <w:rPr>
          <w:rFonts w:ascii="Arial" w:eastAsia="Arial" w:hAnsi="Arial" w:cs="Arial"/>
          <w:color w:val="000000"/>
          <w:sz w:val="20"/>
          <w:szCs w:val="20"/>
        </w:rPr>
      </w:pPr>
      <w:r>
        <w:rPr>
          <w:rFonts w:ascii="Arial" w:eastAsia="Arial" w:hAnsi="Arial" w:cs="Arial"/>
          <w:color w:val="000000"/>
          <w:sz w:val="20"/>
          <w:szCs w:val="20"/>
        </w:rPr>
        <w:t>reflects changes to UK Data Protection Laws;</w:t>
      </w:r>
    </w:p>
    <w:p w14:paraId="7EF85B2F" w14:textId="77777777" w:rsidR="0095748B" w:rsidRDefault="00000000">
      <w:pPr>
        <w:pBdr>
          <w:top w:val="nil"/>
          <w:left w:val="nil"/>
          <w:bottom w:val="nil"/>
          <w:right w:val="nil"/>
          <w:between w:val="nil"/>
        </w:pBdr>
        <w:spacing w:after="200" w:line="276" w:lineRule="auto"/>
        <w:ind w:left="454" w:hanging="454"/>
        <w:rPr>
          <w:rFonts w:ascii="Arial" w:eastAsia="Arial" w:hAnsi="Arial" w:cs="Arial"/>
          <w:color w:val="000000"/>
          <w:sz w:val="20"/>
          <w:szCs w:val="20"/>
        </w:rPr>
      </w:pPr>
      <w:r>
        <w:rPr>
          <w:rFonts w:ascii="Arial" w:eastAsia="Arial" w:hAnsi="Arial" w:cs="Arial"/>
          <w:color w:val="000000"/>
          <w:sz w:val="20"/>
          <w:szCs w:val="20"/>
        </w:rPr>
        <w:t xml:space="preserve">The revised Approved Addendum will specify the start date from which the changes to the Approved Addendum are effective and whether the Parties need to review this Addendum including the Appendix Information. This Addendum is automatically amended as set out in the revised Approved Addendum from the start date specified. </w:t>
      </w:r>
    </w:p>
    <w:p w14:paraId="18CF17BB" w14:textId="77777777" w:rsidR="0095748B" w:rsidRDefault="00000000">
      <w:pPr>
        <w:numPr>
          <w:ilvl w:val="0"/>
          <w:numId w:val="9"/>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If the ICO issues a revised Approved Addendum under Section ‎18, if any Party selected in Table 4 “Ending the Addendum when the Approved Addendum changes”, will as a direct result of the changes in the Approved Addendum have a substantial, disproportionate and demonstrable increase in: </w:t>
      </w:r>
    </w:p>
    <w:p w14:paraId="5BCE2BEF" w14:textId="77777777" w:rsidR="0095748B" w:rsidRDefault="00000000">
      <w:pPr>
        <w:numPr>
          <w:ilvl w:val="0"/>
          <w:numId w:val="10"/>
        </w:numPr>
        <w:pBdr>
          <w:top w:val="nil"/>
          <w:left w:val="nil"/>
          <w:bottom w:val="nil"/>
          <w:right w:val="nil"/>
          <w:between w:val="nil"/>
        </w:pBdr>
        <w:spacing w:line="276" w:lineRule="auto"/>
        <w:ind w:left="851" w:hanging="425"/>
        <w:rPr>
          <w:rFonts w:ascii="Arial" w:eastAsia="Arial" w:hAnsi="Arial" w:cs="Arial"/>
          <w:color w:val="000000"/>
          <w:sz w:val="20"/>
          <w:szCs w:val="20"/>
        </w:rPr>
      </w:pPr>
      <w:r>
        <w:rPr>
          <w:rFonts w:ascii="Arial" w:eastAsia="Arial" w:hAnsi="Arial" w:cs="Arial"/>
          <w:color w:val="000000"/>
          <w:sz w:val="20"/>
          <w:szCs w:val="20"/>
        </w:rPr>
        <w:t xml:space="preserve">its direct costs of performing its obligations under the Addendum; and/or </w:t>
      </w:r>
    </w:p>
    <w:p w14:paraId="0F786936" w14:textId="77777777" w:rsidR="0095748B" w:rsidRDefault="00000000">
      <w:pPr>
        <w:numPr>
          <w:ilvl w:val="0"/>
          <w:numId w:val="10"/>
        </w:numPr>
        <w:pBdr>
          <w:top w:val="nil"/>
          <w:left w:val="nil"/>
          <w:bottom w:val="nil"/>
          <w:right w:val="nil"/>
          <w:between w:val="nil"/>
        </w:pBdr>
        <w:spacing w:after="200" w:line="276" w:lineRule="auto"/>
        <w:ind w:left="851" w:hanging="425"/>
        <w:rPr>
          <w:rFonts w:ascii="Arial" w:eastAsia="Arial" w:hAnsi="Arial" w:cs="Arial"/>
          <w:color w:val="000000"/>
          <w:sz w:val="20"/>
          <w:szCs w:val="20"/>
        </w:rPr>
      </w:pPr>
      <w:r>
        <w:rPr>
          <w:rFonts w:ascii="Arial" w:eastAsia="Arial" w:hAnsi="Arial" w:cs="Arial"/>
          <w:color w:val="000000"/>
          <w:sz w:val="20"/>
          <w:szCs w:val="20"/>
        </w:rPr>
        <w:t xml:space="preserve">its risk under the Addendum, </w:t>
      </w:r>
    </w:p>
    <w:p w14:paraId="1968F9FC" w14:textId="77777777" w:rsidR="0095748B" w:rsidRDefault="00000000">
      <w:pPr>
        <w:pBdr>
          <w:top w:val="nil"/>
          <w:left w:val="nil"/>
          <w:bottom w:val="nil"/>
          <w:right w:val="nil"/>
          <w:between w:val="nil"/>
        </w:pBdr>
        <w:spacing w:after="200" w:line="276" w:lineRule="auto"/>
        <w:ind w:left="454" w:hanging="454"/>
        <w:rPr>
          <w:rFonts w:ascii="Arial" w:eastAsia="Arial" w:hAnsi="Arial" w:cs="Arial"/>
          <w:color w:val="000000"/>
          <w:sz w:val="20"/>
          <w:szCs w:val="20"/>
        </w:rPr>
      </w:pPr>
      <w:r>
        <w:rPr>
          <w:rFonts w:ascii="Arial" w:eastAsia="Arial" w:hAnsi="Arial" w:cs="Arial"/>
          <w:color w:val="000000"/>
          <w:sz w:val="20"/>
          <w:szCs w:val="20"/>
        </w:rPr>
        <w:t>and in either case it has first taken reasonable steps to reduce those costs or risks so that it is not substantial and disproportionate, then that Party may end this Addendum at the end of a reasonable notice period, by providing written notice for that period to the other Party before the start date of the revised Approved Addendum.</w:t>
      </w:r>
    </w:p>
    <w:p w14:paraId="6B4B0951" w14:textId="77777777" w:rsidR="0095748B" w:rsidRDefault="00000000">
      <w:pPr>
        <w:numPr>
          <w:ilvl w:val="0"/>
          <w:numId w:val="9"/>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The Parties do not need the consent of any third party to make changes to this Addendum, but any changes must be made in accordance with its terms.</w:t>
      </w:r>
    </w:p>
    <w:p w14:paraId="38B16149" w14:textId="77777777" w:rsidR="0095748B" w:rsidRDefault="0095748B">
      <w:pPr>
        <w:pBdr>
          <w:top w:val="nil"/>
          <w:left w:val="nil"/>
          <w:bottom w:val="nil"/>
          <w:right w:val="nil"/>
          <w:between w:val="nil"/>
        </w:pBdr>
        <w:spacing w:after="200" w:line="276" w:lineRule="auto"/>
        <w:ind w:left="454" w:hanging="454"/>
        <w:rPr>
          <w:rFonts w:ascii="Arial" w:eastAsia="Arial" w:hAnsi="Arial" w:cs="Arial"/>
          <w:color w:val="000000"/>
          <w:sz w:val="20"/>
          <w:szCs w:val="20"/>
        </w:rPr>
      </w:pPr>
    </w:p>
    <w:p w14:paraId="07EE06EA" w14:textId="77777777" w:rsidR="0095748B" w:rsidRDefault="0095748B">
      <w:pPr>
        <w:tabs>
          <w:tab w:val="left" w:pos="455"/>
        </w:tabs>
      </w:pPr>
      <w:bookmarkStart w:id="0" w:name="_heading=h.tfyn413jyoo8" w:colFirst="0" w:colLast="0"/>
      <w:bookmarkEnd w:id="0"/>
    </w:p>
    <w:sectPr w:rsidR="0095748B">
      <w:headerReference w:type="even" r:id="rId22"/>
      <w:headerReference w:type="default" r:id="rId23"/>
      <w:footerReference w:type="even" r:id="rId24"/>
      <w:footerReference w:type="default" r:id="rId25"/>
      <w:headerReference w:type="first" r:id="rId26"/>
      <w:footerReference w:type="first" r:id="rId27"/>
      <w:pgSz w:w="11906" w:h="16838"/>
      <w:pgMar w:top="1247" w:right="1418" w:bottom="1134"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F9BF3C5" w14:textId="77777777" w:rsidR="00DB0C1C" w:rsidRDefault="00DB0C1C">
      <w:r>
        <w:separator/>
      </w:r>
    </w:p>
  </w:endnote>
  <w:endnote w:type="continuationSeparator" w:id="0">
    <w:p w14:paraId="6D63A6CC" w14:textId="77777777" w:rsidR="00DB0C1C" w:rsidRDefault="00DB0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roman"/>
    <w:pitch w:val="default"/>
  </w:font>
  <w:font w:name="Noto Sans CJK SC">
    <w:panose1 w:val="020B0604020202020204"/>
    <w:charset w:val="00"/>
    <w:family w:val="roman"/>
    <w:pitch w:val="default"/>
  </w:font>
  <w:font w:name="Lohit Devanagari">
    <w:altName w:val="Cambria"/>
    <w:panose1 w:val="020B0604020202020204"/>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IPEDH+Arial">
    <w:panose1 w:val="020B0604020202020204"/>
    <w:charset w:val="00"/>
    <w:family w:val="roman"/>
    <w:pitch w:val="default"/>
  </w:font>
  <w:font w:name="DengXian">
    <w:altName w:val="等线"/>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Times">
    <w:altName w:val="Times New Roman"/>
    <w:panose1 w:val="00000500000000020000"/>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0AB33F" w14:textId="77777777" w:rsidR="0095748B" w:rsidRDefault="0095748B">
    <w:pPr>
      <w:widowControl w:val="0"/>
      <w:pBdr>
        <w:top w:val="nil"/>
        <w:left w:val="nil"/>
        <w:bottom w:val="nil"/>
        <w:right w:val="nil"/>
        <w:between w:val="nil"/>
      </w:pBdr>
      <w:tabs>
        <w:tab w:val="center" w:pos="4153"/>
        <w:tab w:val="right" w:pos="8306"/>
      </w:tabs>
      <w:jc w:val="both"/>
      <w:rPr>
        <w:rFonts w:ascii="Arial" w:eastAsia="Arial" w:hAnsi="Arial"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77C1FE" w14:textId="77777777" w:rsidR="0095748B" w:rsidRDefault="00000000">
    <w:pPr>
      <w:widowControl w:val="0"/>
      <w:pBdr>
        <w:top w:val="nil"/>
        <w:left w:val="nil"/>
        <w:bottom w:val="nil"/>
        <w:right w:val="nil"/>
        <w:between w:val="nil"/>
      </w:pBdr>
      <w:tabs>
        <w:tab w:val="center" w:pos="4153"/>
        <w:tab w:val="right" w:pos="8306"/>
      </w:tabs>
      <w:jc w:val="both"/>
      <w:rPr>
        <w:rFonts w:ascii="Arial" w:eastAsia="Arial" w:hAnsi="Arial" w:cs="Arial"/>
        <w:color w:val="000000"/>
      </w:rPr>
    </w:pPr>
    <w:r>
      <w:rPr>
        <w:noProof/>
      </w:rPr>
      <mc:AlternateContent>
        <mc:Choice Requires="wps">
          <w:drawing>
            <wp:anchor distT="0" distB="0" distL="114300" distR="114300" simplePos="0" relativeHeight="251658240" behindDoc="0" locked="0" layoutInCell="1" hidden="0" allowOverlap="1" wp14:anchorId="454352D6" wp14:editId="42CDAD7D">
              <wp:simplePos x="0" y="0"/>
              <wp:positionH relativeFrom="column">
                <wp:posOffset>2959100</wp:posOffset>
              </wp:positionH>
              <wp:positionV relativeFrom="paragraph">
                <wp:posOffset>0</wp:posOffset>
              </wp:positionV>
              <wp:extent cx="64135" cy="123825"/>
              <wp:effectExtent l="0" t="0" r="0" b="0"/>
              <wp:wrapSquare wrapText="bothSides" distT="0" distB="0" distL="114300" distR="114300"/>
              <wp:docPr id="2" name="Freeform 2"/>
              <wp:cNvGraphicFramePr/>
              <a:graphic xmlns:a="http://schemas.openxmlformats.org/drawingml/2006/main">
                <a:graphicData uri="http://schemas.microsoft.com/office/word/2010/wordprocessingShape">
                  <wps:wsp>
                    <wps:cNvSpPr/>
                    <wps:spPr>
                      <a:xfrm>
                        <a:off x="2466275" y="3722850"/>
                        <a:ext cx="54610" cy="114300"/>
                      </a:xfrm>
                      <a:custGeom>
                        <a:avLst/>
                        <a:gdLst/>
                        <a:ahLst/>
                        <a:cxnLst/>
                        <a:rect l="l" t="t" r="r" b="b"/>
                        <a:pathLst>
                          <a:path w="54610" h="114300" extrusionOk="0">
                            <a:moveTo>
                              <a:pt x="0" y="0"/>
                            </a:moveTo>
                            <a:lnTo>
                              <a:pt x="0" y="114300"/>
                            </a:lnTo>
                            <a:lnTo>
                              <a:pt x="54610" y="114300"/>
                            </a:lnTo>
                            <a:lnTo>
                              <a:pt x="54610" y="0"/>
                            </a:lnTo>
                            <a:close/>
                          </a:path>
                        </a:pathLst>
                      </a:custGeom>
                      <a:solidFill>
                        <a:srgbClr val="FFFFFF"/>
                      </a:solidFill>
                      <a:ln>
                        <a:noFill/>
                      </a:ln>
                    </wps:spPr>
                    <wps:txbx>
                      <w:txbxContent>
                        <w:p w14:paraId="4CBC1A02" w14:textId="77777777" w:rsidR="0095748B" w:rsidRDefault="00000000">
                          <w:pPr>
                            <w:jc w:val="both"/>
                            <w:textDirection w:val="btLr"/>
                          </w:pPr>
                          <w:r>
                            <w:rPr>
                              <w:rFonts w:ascii="Arial" w:eastAsia="Arial" w:hAnsi="Arial" w:cs="Arial"/>
                              <w:color w:val="000000"/>
                              <w:sz w:val="16"/>
                            </w:rPr>
                            <w:t xml:space="preserve"> PAGE 7</w:t>
                          </w:r>
                        </w:p>
                      </w:txbxContent>
                    </wps:txbx>
                    <wps:bodyPr spcFirstLastPara="1" wrap="square" lIns="0" tIns="38100" rIns="0" bIns="38100" anchor="t" anchorCtr="0">
                      <a:noAutofit/>
                    </wps:bodyPr>
                  </wps:wsp>
                </a:graphicData>
              </a:graphic>
            </wp:anchor>
          </w:drawing>
        </mc:Choice>
        <mc:Fallback>
          <w:pict>
            <v:shape id="Freeform 2" o:spid="_x0000_s1026" style="position:absolute;left:0;text-align:left;margin-left:233pt;margin-top:0;width:5.05pt;height:9.75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54610,1143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" adj="-11796480,,5400" path="m,l,114300r54610,l54610,,,xe" stroked="f">
              <v:stroke joinstyle="miter"/>
              <v:formulas/>
              <v:path arrowok="t" o:extrusionok="f" o:connecttype="custom" textboxrect="0,0,54610,114300"/>
              <v:textbox inset="0,3pt,0,3pt">
                <w:txbxContent>
                  <w:p w:rsidR="0095748B" w:rsidRDefault="00000000">
                    <w:pPr>
                      <w:jc w:val="both"/>
                      <w:textDirection w:val="btLr"/>
                    </w:pPr>
                    <w:r>
                      <w:rPr>
                        <w:rFonts w:ascii="Arial" w:eastAsia="Arial" w:hAnsi="Arial" w:cs="Arial"/>
                        <w:color w:val="000000"/>
                        <w:sz w:val="16"/>
                      </w:rPr>
                      <w:t xml:space="preserve"> PAGE 7</w:t>
                    </w:r>
                  </w:p>
                </w:txbxContent>
              </v:textbox>
              <w10:wrap type="square"/>
            </v:shape>
          </w:pict>
        </mc:Fallback>
      </mc:AlternateContent>
    </w:r>
  </w:p>
  <w:p w14:paraId="375A0B16" w14:textId="77777777" w:rsidR="0095748B" w:rsidRDefault="00000000">
    <w:pPr>
      <w:widowControl w:val="0"/>
      <w:pBdr>
        <w:top w:val="nil"/>
        <w:left w:val="nil"/>
        <w:bottom w:val="nil"/>
        <w:right w:val="nil"/>
        <w:between w:val="nil"/>
      </w:pBdr>
      <w:tabs>
        <w:tab w:val="center" w:pos="4153"/>
        <w:tab w:val="right" w:pos="8306"/>
      </w:tabs>
      <w:jc w:val="both"/>
      <w:rPr>
        <w:rFonts w:ascii="Arial" w:eastAsia="Arial" w:hAnsi="Arial" w:cs="Arial"/>
        <w:color w:val="000000"/>
      </w:rPr>
    </w:pPr>
    <w:r>
      <w:rPr>
        <w:rFonts w:ascii="Arial" w:eastAsia="Arial" w:hAnsi="Arial" w:cs="Arial"/>
        <w:color w:val="000000"/>
        <w:sz w:val="20"/>
        <w:szCs w:val="20"/>
      </w:rPr>
      <w:t>Data Processing Agreement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1D5F02" w14:textId="77777777" w:rsidR="0095748B" w:rsidRDefault="0095748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41CA16" w14:textId="77777777" w:rsidR="0095748B" w:rsidRDefault="0095748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138FF4" w14:textId="77777777" w:rsidR="0095748B" w:rsidRDefault="00000000">
    <w:pPr>
      <w:widowControl w:val="0"/>
      <w:pBdr>
        <w:top w:val="nil"/>
        <w:left w:val="nil"/>
        <w:bottom w:val="nil"/>
        <w:right w:val="nil"/>
        <w:between w:val="nil"/>
      </w:pBdr>
      <w:tabs>
        <w:tab w:val="center" w:pos="4153"/>
        <w:tab w:val="right" w:pos="8306"/>
      </w:tabs>
      <w:jc w:val="both"/>
      <w:rPr>
        <w:rFonts w:ascii="Arial" w:eastAsia="Arial" w:hAnsi="Arial" w:cs="Arial"/>
        <w:color w:val="000000"/>
      </w:rPr>
    </w:pPr>
    <w:r>
      <w:rPr>
        <w:noProof/>
      </w:rPr>
      <mc:AlternateContent>
        <mc:Choice Requires="wps">
          <w:drawing>
            <wp:anchor distT="0" distB="0" distL="114300" distR="114300" simplePos="0" relativeHeight="251659264" behindDoc="0" locked="0" layoutInCell="1" hidden="0" allowOverlap="1" wp14:anchorId="1BAB599D" wp14:editId="1799A47E">
              <wp:simplePos x="0" y="0"/>
              <wp:positionH relativeFrom="column">
                <wp:posOffset>2933700</wp:posOffset>
              </wp:positionH>
              <wp:positionV relativeFrom="paragraph">
                <wp:posOffset>0</wp:posOffset>
              </wp:positionV>
              <wp:extent cx="120650" cy="123825"/>
              <wp:effectExtent l="0" t="0" r="0" b="0"/>
              <wp:wrapSquare wrapText="bothSides" distT="0" distB="0" distL="114300" distR="114300"/>
              <wp:docPr id="3" name="Freeform 3"/>
              <wp:cNvGraphicFramePr/>
              <a:graphic xmlns:a="http://schemas.openxmlformats.org/drawingml/2006/main">
                <a:graphicData uri="http://schemas.microsoft.com/office/word/2010/wordprocessingShape">
                  <wps:wsp>
                    <wps:cNvSpPr/>
                    <wps:spPr>
                      <a:xfrm>
                        <a:off x="2466275" y="3722850"/>
                        <a:ext cx="111125" cy="114300"/>
                      </a:xfrm>
                      <a:custGeom>
                        <a:avLst/>
                        <a:gdLst/>
                        <a:ahLst/>
                        <a:cxnLst/>
                        <a:rect l="l" t="t" r="r" b="b"/>
                        <a:pathLst>
                          <a:path w="111125" h="114300" extrusionOk="0">
                            <a:moveTo>
                              <a:pt x="0" y="0"/>
                            </a:moveTo>
                            <a:lnTo>
                              <a:pt x="0" y="114300"/>
                            </a:lnTo>
                            <a:lnTo>
                              <a:pt x="111125" y="114300"/>
                            </a:lnTo>
                            <a:lnTo>
                              <a:pt x="111125" y="0"/>
                            </a:lnTo>
                            <a:close/>
                          </a:path>
                        </a:pathLst>
                      </a:custGeom>
                      <a:solidFill>
                        <a:srgbClr val="FFFFFF"/>
                      </a:solidFill>
                      <a:ln>
                        <a:noFill/>
                      </a:ln>
                    </wps:spPr>
                    <wps:txbx>
                      <w:txbxContent>
                        <w:p w14:paraId="68167CD8" w14:textId="77777777" w:rsidR="0095748B" w:rsidRDefault="00000000">
                          <w:pPr>
                            <w:jc w:val="both"/>
                            <w:textDirection w:val="btLr"/>
                          </w:pPr>
                          <w:r>
                            <w:rPr>
                              <w:rFonts w:ascii="Arial" w:eastAsia="Arial" w:hAnsi="Arial" w:cs="Arial"/>
                              <w:color w:val="000000"/>
                              <w:sz w:val="16"/>
                            </w:rPr>
                            <w:t xml:space="preserve"> PAGE 11</w:t>
                          </w:r>
                        </w:p>
                      </w:txbxContent>
                    </wps:txbx>
                    <wps:bodyPr spcFirstLastPara="1" wrap="square" lIns="0" tIns="38100" rIns="0" bIns="38100" anchor="t" anchorCtr="0">
                      <a:noAutofit/>
                    </wps:bodyPr>
                  </wps:wsp>
                </a:graphicData>
              </a:graphic>
            </wp:anchor>
          </w:drawing>
        </mc:Choice>
        <mc:Fallback>
          <w:pict>
            <v:shape id="Freeform 3" o:spid="_x0000_s1027" style="position:absolute;left:0;text-align:left;margin-left:231pt;margin-top:0;width:9.5pt;height:9.75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111125,1143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" adj="-11796480,,5400" path="m,l,114300r111125,l111125,,,xe" stroked="f">
              <v:stroke joinstyle="miter"/>
              <v:formulas/>
              <v:path arrowok="t" o:extrusionok="f" o:connecttype="custom" textboxrect="0,0,111125,114300"/>
              <v:textbox inset="0,3pt,0,3pt">
                <w:txbxContent>
                  <w:p w:rsidR="0095748B" w:rsidRDefault="00000000">
                    <w:pPr>
                      <w:jc w:val="both"/>
                      <w:textDirection w:val="btLr"/>
                    </w:pPr>
                    <w:r>
                      <w:rPr>
                        <w:rFonts w:ascii="Arial" w:eastAsia="Arial" w:hAnsi="Arial" w:cs="Arial"/>
                        <w:color w:val="000000"/>
                        <w:sz w:val="16"/>
                      </w:rPr>
                      <w:t xml:space="preserve"> PAGE 11</w:t>
                    </w:r>
                  </w:p>
                </w:txbxContent>
              </v:textbox>
              <w10:wrap type="square"/>
            </v:shape>
          </w:pict>
        </mc:Fallback>
      </mc:AlternateContent>
    </w:r>
  </w:p>
  <w:p w14:paraId="228678E8" w14:textId="77777777" w:rsidR="0095748B" w:rsidRDefault="00000000">
    <w:pPr>
      <w:widowControl w:val="0"/>
      <w:pBdr>
        <w:top w:val="nil"/>
        <w:left w:val="nil"/>
        <w:bottom w:val="nil"/>
        <w:right w:val="nil"/>
        <w:between w:val="nil"/>
      </w:pBdr>
      <w:tabs>
        <w:tab w:val="center" w:pos="4153"/>
        <w:tab w:val="right" w:pos="8306"/>
      </w:tabs>
      <w:jc w:val="both"/>
      <w:rPr>
        <w:rFonts w:ascii="Arial" w:eastAsia="Arial" w:hAnsi="Arial" w:cs="Arial"/>
        <w:color w:val="000000"/>
      </w:rPr>
    </w:pPr>
    <w:r>
      <w:rPr>
        <w:rFonts w:ascii="Arial" w:eastAsia="Arial" w:hAnsi="Arial" w:cs="Arial"/>
        <w:color w:val="000000"/>
        <w:sz w:val="20"/>
        <w:szCs w:val="20"/>
      </w:rPr>
      <w:t>Data Processing Agreement with new SCCs – draft 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12F544" w14:textId="77777777" w:rsidR="0095748B" w:rsidRDefault="0095748B"/>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0B453A" w14:textId="77777777" w:rsidR="0095748B" w:rsidRDefault="0095748B"/>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FC485B" w14:textId="77777777" w:rsidR="0095748B" w:rsidRDefault="00000000">
    <w:pPr>
      <w:widowControl w:val="0"/>
      <w:pBdr>
        <w:top w:val="nil"/>
        <w:left w:val="nil"/>
        <w:bottom w:val="nil"/>
        <w:right w:val="nil"/>
        <w:between w:val="nil"/>
      </w:pBdr>
      <w:tabs>
        <w:tab w:val="center" w:pos="4153"/>
        <w:tab w:val="right" w:pos="8306"/>
      </w:tabs>
      <w:jc w:val="both"/>
      <w:rPr>
        <w:rFonts w:ascii="Arial" w:eastAsia="Arial" w:hAnsi="Arial" w:cs="Arial"/>
        <w:color w:val="000000"/>
      </w:rPr>
    </w:pPr>
    <w:r>
      <w:rPr>
        <w:noProof/>
      </w:rPr>
      <mc:AlternateContent>
        <mc:Choice Requires="wps">
          <w:drawing>
            <wp:anchor distT="0" distB="0" distL="114300" distR="114300" simplePos="0" relativeHeight="251660288" behindDoc="0" locked="0" layoutInCell="1" hidden="0" allowOverlap="1" wp14:anchorId="7C48420C" wp14:editId="7B1AC31D">
              <wp:simplePos x="0" y="0"/>
              <wp:positionH relativeFrom="column">
                <wp:posOffset>2933700</wp:posOffset>
              </wp:positionH>
              <wp:positionV relativeFrom="paragraph">
                <wp:posOffset>0</wp:posOffset>
              </wp:positionV>
              <wp:extent cx="120650" cy="123825"/>
              <wp:effectExtent l="0" t="0" r="0" b="0"/>
              <wp:wrapSquare wrapText="bothSides" distT="0" distB="0" distL="114300" distR="114300"/>
              <wp:docPr id="1" name="Freeform 1"/>
              <wp:cNvGraphicFramePr/>
              <a:graphic xmlns:a="http://schemas.openxmlformats.org/drawingml/2006/main">
                <a:graphicData uri="http://schemas.microsoft.com/office/word/2010/wordprocessingShape">
                  <wps:wsp>
                    <wps:cNvSpPr/>
                    <wps:spPr>
                      <a:xfrm>
                        <a:off x="2466275" y="3722850"/>
                        <a:ext cx="111125" cy="114300"/>
                      </a:xfrm>
                      <a:custGeom>
                        <a:avLst/>
                        <a:gdLst/>
                        <a:ahLst/>
                        <a:cxnLst/>
                        <a:rect l="l" t="t" r="r" b="b"/>
                        <a:pathLst>
                          <a:path w="111125" h="114300" extrusionOk="0">
                            <a:moveTo>
                              <a:pt x="0" y="0"/>
                            </a:moveTo>
                            <a:lnTo>
                              <a:pt x="0" y="114300"/>
                            </a:lnTo>
                            <a:lnTo>
                              <a:pt x="111125" y="114300"/>
                            </a:lnTo>
                            <a:lnTo>
                              <a:pt x="111125" y="0"/>
                            </a:lnTo>
                            <a:close/>
                          </a:path>
                        </a:pathLst>
                      </a:custGeom>
                      <a:solidFill>
                        <a:srgbClr val="FFFFFF"/>
                      </a:solidFill>
                      <a:ln>
                        <a:noFill/>
                      </a:ln>
                    </wps:spPr>
                    <wps:txbx>
                      <w:txbxContent>
                        <w:p w14:paraId="0C64AA32" w14:textId="77777777" w:rsidR="0095748B" w:rsidRDefault="00000000">
                          <w:pPr>
                            <w:jc w:val="both"/>
                            <w:textDirection w:val="btLr"/>
                          </w:pPr>
                          <w:r>
                            <w:rPr>
                              <w:rFonts w:ascii="Arial" w:eastAsia="Arial" w:hAnsi="Arial" w:cs="Arial"/>
                              <w:color w:val="000000"/>
                              <w:sz w:val="16"/>
                            </w:rPr>
                            <w:t xml:space="preserve"> PAGE 15</w:t>
                          </w:r>
                        </w:p>
                      </w:txbxContent>
                    </wps:txbx>
                    <wps:bodyPr spcFirstLastPara="1" wrap="square" lIns="0" tIns="38100" rIns="0" bIns="38100" anchor="t" anchorCtr="0">
                      <a:noAutofit/>
                    </wps:bodyPr>
                  </wps:wsp>
                </a:graphicData>
              </a:graphic>
            </wp:anchor>
          </w:drawing>
        </mc:Choice>
        <mc:Fallback>
          <w:pict>
            <v:shape id="Freeform 1" o:spid="_x0000_s1028" style="position:absolute;left:0;text-align:left;margin-left:231pt;margin-top:0;width:9.5pt;height:9.75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111125,1143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" adj="-11796480,,5400" path="m,l,114300r111125,l111125,,,xe" stroked="f">
              <v:stroke joinstyle="miter"/>
              <v:formulas/>
              <v:path arrowok="t" o:extrusionok="f" o:connecttype="custom" textboxrect="0,0,111125,114300"/>
              <v:textbox inset="0,3pt,0,3pt">
                <w:txbxContent>
                  <w:p w:rsidR="0095748B" w:rsidRDefault="00000000">
                    <w:pPr>
                      <w:jc w:val="both"/>
                      <w:textDirection w:val="btLr"/>
                    </w:pPr>
                    <w:r>
                      <w:rPr>
                        <w:rFonts w:ascii="Arial" w:eastAsia="Arial" w:hAnsi="Arial" w:cs="Arial"/>
                        <w:color w:val="000000"/>
                        <w:sz w:val="16"/>
                      </w:rPr>
                      <w:t xml:space="preserve"> PAGE 15</w:t>
                    </w:r>
                  </w:p>
                </w:txbxContent>
              </v:textbox>
              <w10:wrap type="square"/>
            </v:shape>
          </w:pict>
        </mc:Fallback>
      </mc:AlternateContent>
    </w:r>
  </w:p>
  <w:p w14:paraId="5F70BF6C" w14:textId="77777777" w:rsidR="0095748B" w:rsidRDefault="00000000">
    <w:pPr>
      <w:widowControl w:val="0"/>
      <w:pBdr>
        <w:top w:val="nil"/>
        <w:left w:val="nil"/>
        <w:bottom w:val="nil"/>
        <w:right w:val="nil"/>
        <w:between w:val="nil"/>
      </w:pBdr>
      <w:tabs>
        <w:tab w:val="center" w:pos="4153"/>
        <w:tab w:val="right" w:pos="8306"/>
      </w:tabs>
      <w:jc w:val="both"/>
      <w:rPr>
        <w:rFonts w:ascii="Arial" w:eastAsia="Arial" w:hAnsi="Arial" w:cs="Arial"/>
        <w:color w:val="000000"/>
      </w:rPr>
    </w:pPr>
    <w:r>
      <w:rPr>
        <w:rFonts w:ascii="Arial" w:eastAsia="Arial" w:hAnsi="Arial" w:cs="Arial"/>
        <w:color w:val="000000"/>
      </w:rPr>
      <w:t>Data Processing Agreement with new SCCs – draft 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199960" w14:textId="77777777" w:rsidR="0095748B" w:rsidRDefault="0095748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A466A09" w14:textId="77777777" w:rsidR="00DB0C1C" w:rsidRDefault="00DB0C1C">
      <w:r>
        <w:separator/>
      </w:r>
    </w:p>
  </w:footnote>
  <w:footnote w:type="continuationSeparator" w:id="0">
    <w:p w14:paraId="7008D150" w14:textId="77777777" w:rsidR="00DB0C1C" w:rsidRDefault="00DB0C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AC8D89" w14:textId="77777777" w:rsidR="0095748B" w:rsidRDefault="0095748B">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9D5719" w14:textId="77777777" w:rsidR="0095748B" w:rsidRDefault="0095748B">
    <w:pPr>
      <w:pBdr>
        <w:top w:val="nil"/>
        <w:left w:val="nil"/>
        <w:bottom w:val="nil"/>
        <w:right w:val="nil"/>
        <w:between w:val="nil"/>
      </w:pBdr>
      <w:tabs>
        <w:tab w:val="center" w:pos="4320"/>
        <w:tab w:val="right" w:pos="8640"/>
      </w:tabs>
      <w:rPr>
        <w:rFonts w:ascii="Trebuchet MS" w:eastAsia="Trebuchet MS" w:hAnsi="Trebuchet MS" w:cs="Trebuchet MS"/>
        <w:b/>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FB77D8" w14:textId="77777777" w:rsidR="0095748B" w:rsidRDefault="0095748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087C27" w14:textId="77777777" w:rsidR="0095748B" w:rsidRDefault="0095748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9B2051" w14:textId="77777777" w:rsidR="0095748B" w:rsidRDefault="0095748B">
    <w:pPr>
      <w:pBdr>
        <w:top w:val="nil"/>
        <w:left w:val="nil"/>
        <w:bottom w:val="nil"/>
        <w:right w:val="nil"/>
        <w:between w:val="nil"/>
      </w:pBdr>
      <w:tabs>
        <w:tab w:val="center" w:pos="4320"/>
        <w:tab w:val="right" w:pos="8640"/>
      </w:tabs>
      <w:rPr>
        <w:rFonts w:ascii="Trebuchet MS" w:eastAsia="Trebuchet MS" w:hAnsi="Trebuchet MS" w:cs="Trebuchet MS"/>
        <w:b/>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7FF1A4" w14:textId="77777777" w:rsidR="0095748B" w:rsidRDefault="0095748B"/>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DF183B" w14:textId="77777777" w:rsidR="0095748B" w:rsidRDefault="0095748B"/>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4A61AB" w14:textId="77777777" w:rsidR="0095748B" w:rsidRDefault="0095748B">
    <w:pPr>
      <w:pBdr>
        <w:top w:val="nil"/>
        <w:left w:val="nil"/>
        <w:bottom w:val="nil"/>
        <w:right w:val="nil"/>
        <w:between w:val="nil"/>
      </w:pBdr>
      <w:tabs>
        <w:tab w:val="center" w:pos="4320"/>
        <w:tab w:val="right" w:pos="8640"/>
      </w:tabs>
      <w:rPr>
        <w:rFonts w:ascii="Trebuchet MS" w:eastAsia="Trebuchet MS" w:hAnsi="Trebuchet MS" w:cs="Trebuchet MS"/>
        <w:b/>
        <w:color w:val="00000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F209F" w14:textId="77777777" w:rsidR="0095748B" w:rsidRDefault="0095748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4A4989"/>
    <w:multiLevelType w:val="multilevel"/>
    <w:tmpl w:val="8A8A580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13F00B41"/>
    <w:multiLevelType w:val="multilevel"/>
    <w:tmpl w:val="CAFCA48C"/>
    <w:lvl w:ilvl="0">
      <w:start w:val="1"/>
      <w:numFmt w:val="decimal"/>
      <w:pStyle w:val="Bullet1"/>
      <w:lvlText w:val=""/>
      <w:lvlJc w:val="left"/>
      <w:pPr>
        <w:ind w:left="0" w:firstLine="0"/>
      </w:pPr>
      <w:rPr>
        <w:b w:val="0"/>
        <w:i w:val="0"/>
      </w:rPr>
    </w:lvl>
    <w:lvl w:ilvl="1">
      <w:start w:val="1"/>
      <w:numFmt w:val="lowerLetter"/>
      <w:lvlText w:val="(%2)"/>
      <w:lvlJc w:val="left"/>
      <w:pPr>
        <w:ind w:left="851" w:hanging="851"/>
      </w:pPr>
    </w:lvl>
    <w:lvl w:ilvl="2">
      <w:start w:val="1"/>
      <w:numFmt w:val="lowerRoman"/>
      <w:lvlText w:val="(%3)"/>
      <w:lvlJc w:val="left"/>
      <w:pPr>
        <w:ind w:left="1843" w:hanging="991"/>
      </w:pPr>
    </w:lvl>
    <w:lvl w:ilvl="3">
      <w:start w:val="1"/>
      <w:numFmt w:val="bullet"/>
      <w:lvlText w:val="●"/>
      <w:lvlJc w:val="left"/>
      <w:pPr>
        <w:ind w:left="1440" w:hanging="360"/>
      </w:pPr>
      <w:rPr>
        <w:rFonts w:ascii="Noto Sans Symbols" w:eastAsia="Noto Sans Symbols" w:hAnsi="Noto Sans Symbols" w:cs="Noto Sans Symbols"/>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2F412BA"/>
    <w:multiLevelType w:val="multilevel"/>
    <w:tmpl w:val="569CF94A"/>
    <w:lvl w:ilvl="0">
      <w:start w:val="1"/>
      <w:numFmt w:val="decimal"/>
      <w:lvlText w:val="%1."/>
      <w:lvlJc w:val="left"/>
      <w:pPr>
        <w:ind w:left="360" w:hanging="360"/>
      </w:pPr>
      <w:rPr>
        <w:rFonts w:ascii="Arial" w:eastAsia="Arial" w:hAnsi="Arial" w:cs="Arial"/>
        <w:b w:val="0"/>
        <w:i w:val="0"/>
        <w:strike w:val="0"/>
        <w:color w:val="000000"/>
        <w:sz w:val="20"/>
        <w:szCs w:val="20"/>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0"/>
        <w:szCs w:val="20"/>
        <w:u w:val="none"/>
        <w:shd w:val="clear" w:color="auto" w:fill="auto"/>
        <w:vertAlign w:val="baseline"/>
      </w:rPr>
    </w:lvl>
    <w:lvl w:ilvl="2">
      <w:start w:val="1"/>
      <w:numFmt w:val="lowerRoman"/>
      <w:lvlText w:val="%3"/>
      <w:lvlJc w:val="left"/>
      <w:pPr>
        <w:ind w:left="1800" w:hanging="1800"/>
      </w:pPr>
      <w:rPr>
        <w:rFonts w:ascii="Verdana" w:eastAsia="Verdana" w:hAnsi="Verdana" w:cs="Verdana"/>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Verdana" w:eastAsia="Verdana" w:hAnsi="Verdana" w:cs="Verdana"/>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Verdana" w:eastAsia="Verdana" w:hAnsi="Verdana" w:cs="Verdana"/>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Verdana" w:eastAsia="Verdana" w:hAnsi="Verdana" w:cs="Verdana"/>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Verdana" w:eastAsia="Verdana" w:hAnsi="Verdana" w:cs="Verdana"/>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Verdana" w:eastAsia="Verdana" w:hAnsi="Verdana" w:cs="Verdana"/>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Verdana" w:eastAsia="Verdana" w:hAnsi="Verdana" w:cs="Verdana"/>
        <w:b w:val="0"/>
        <w:i w:val="0"/>
        <w:strike w:val="0"/>
        <w:color w:val="000000"/>
        <w:sz w:val="22"/>
        <w:szCs w:val="22"/>
        <w:u w:val="none"/>
        <w:shd w:val="clear" w:color="auto" w:fill="auto"/>
        <w:vertAlign w:val="baseline"/>
      </w:rPr>
    </w:lvl>
  </w:abstractNum>
  <w:abstractNum w:abstractNumId="3" w15:restartNumberingAfterBreak="0">
    <w:nsid w:val="23A648B0"/>
    <w:multiLevelType w:val="multilevel"/>
    <w:tmpl w:val="83CEDDF4"/>
    <w:lvl w:ilvl="0">
      <w:start w:val="1"/>
      <w:numFmt w:val="lowerLetter"/>
      <w:lvlText w:val="%1."/>
      <w:lvlJc w:val="left"/>
      <w:pPr>
        <w:ind w:left="814" w:hanging="814"/>
      </w:pPr>
      <w:rPr>
        <w:rFonts w:ascii="Arial" w:eastAsia="Arial" w:hAnsi="Arial" w:cs="Arial"/>
        <w:b w:val="0"/>
        <w:i w:val="0"/>
        <w:strike w:val="0"/>
        <w:color w:val="000000"/>
        <w:sz w:val="20"/>
        <w:szCs w:val="20"/>
        <w:u w:val="none"/>
        <w:shd w:val="clear" w:color="auto" w:fill="auto"/>
        <w:vertAlign w:val="baseline"/>
      </w:rPr>
    </w:lvl>
    <w:lvl w:ilvl="1">
      <w:start w:val="1"/>
      <w:numFmt w:val="lowerLetter"/>
      <w:lvlText w:val="%2."/>
      <w:lvlJc w:val="left"/>
      <w:pPr>
        <w:ind w:left="1174" w:hanging="360"/>
      </w:pPr>
    </w:lvl>
    <w:lvl w:ilvl="2">
      <w:start w:val="1"/>
      <w:numFmt w:val="lowerRoman"/>
      <w:lvlText w:val="%3."/>
      <w:lvlJc w:val="right"/>
      <w:pPr>
        <w:ind w:left="1894" w:hanging="180"/>
      </w:pPr>
    </w:lvl>
    <w:lvl w:ilvl="3">
      <w:start w:val="1"/>
      <w:numFmt w:val="decimal"/>
      <w:lvlText w:val="%4."/>
      <w:lvlJc w:val="left"/>
      <w:pPr>
        <w:ind w:left="2614" w:hanging="360"/>
      </w:pPr>
    </w:lvl>
    <w:lvl w:ilvl="4">
      <w:start w:val="1"/>
      <w:numFmt w:val="lowerLetter"/>
      <w:lvlText w:val="%5."/>
      <w:lvlJc w:val="left"/>
      <w:pPr>
        <w:ind w:left="3334" w:hanging="360"/>
      </w:pPr>
    </w:lvl>
    <w:lvl w:ilvl="5">
      <w:start w:val="1"/>
      <w:numFmt w:val="lowerRoman"/>
      <w:lvlText w:val="%6."/>
      <w:lvlJc w:val="right"/>
      <w:pPr>
        <w:ind w:left="4054" w:hanging="180"/>
      </w:pPr>
    </w:lvl>
    <w:lvl w:ilvl="6">
      <w:start w:val="1"/>
      <w:numFmt w:val="decimal"/>
      <w:lvlText w:val="%7."/>
      <w:lvlJc w:val="left"/>
      <w:pPr>
        <w:ind w:left="4774" w:hanging="360"/>
      </w:pPr>
    </w:lvl>
    <w:lvl w:ilvl="7">
      <w:start w:val="1"/>
      <w:numFmt w:val="lowerLetter"/>
      <w:lvlText w:val="%8."/>
      <w:lvlJc w:val="left"/>
      <w:pPr>
        <w:ind w:left="5494" w:hanging="360"/>
      </w:pPr>
    </w:lvl>
    <w:lvl w:ilvl="8">
      <w:start w:val="1"/>
      <w:numFmt w:val="lowerRoman"/>
      <w:lvlText w:val="%9."/>
      <w:lvlJc w:val="right"/>
      <w:pPr>
        <w:ind w:left="6214" w:hanging="180"/>
      </w:pPr>
    </w:lvl>
  </w:abstractNum>
  <w:abstractNum w:abstractNumId="4" w15:restartNumberingAfterBreak="0">
    <w:nsid w:val="2B367D9D"/>
    <w:multiLevelType w:val="multilevel"/>
    <w:tmpl w:val="78B8D012"/>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pStyle w:val="Heading7"/>
      <w:lvlText w:val=""/>
      <w:lvlJc w:val="left"/>
      <w:pPr>
        <w:ind w:left="0" w:firstLine="0"/>
      </w:pPr>
    </w:lvl>
    <w:lvl w:ilvl="7">
      <w:start w:val="1"/>
      <w:numFmt w:val="decimal"/>
      <w:pStyle w:val="Heading8"/>
      <w:lvlText w:val=""/>
      <w:lvlJc w:val="left"/>
      <w:pPr>
        <w:ind w:left="0" w:firstLine="0"/>
      </w:pPr>
    </w:lvl>
    <w:lvl w:ilvl="8">
      <w:start w:val="1"/>
      <w:numFmt w:val="decimal"/>
      <w:pStyle w:val="Heading9"/>
      <w:lvlText w:val=""/>
      <w:lvlJc w:val="left"/>
      <w:pPr>
        <w:ind w:left="0" w:firstLine="0"/>
      </w:pPr>
    </w:lvl>
  </w:abstractNum>
  <w:abstractNum w:abstractNumId="5" w15:restartNumberingAfterBreak="0">
    <w:nsid w:val="368D7A00"/>
    <w:multiLevelType w:val="multilevel"/>
    <w:tmpl w:val="27F2E4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36E126DF"/>
    <w:multiLevelType w:val="multilevel"/>
    <w:tmpl w:val="D2B63944"/>
    <w:lvl w:ilvl="0">
      <w:start w:val="1"/>
      <w:numFmt w:val="lowerRoman"/>
      <w:pStyle w:val="CNTaskText"/>
      <w:lvlText w:val="(%1)"/>
      <w:lvlJc w:val="left"/>
      <w:pPr>
        <w:ind w:left="1429" w:hanging="720"/>
      </w:pPr>
      <w:rPr>
        <w:rFonts w:ascii="Arial" w:eastAsia="Arial" w:hAnsi="Arial" w:cs="Arial"/>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4B287E23"/>
    <w:multiLevelType w:val="multilevel"/>
    <w:tmpl w:val="9982890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4DB14375"/>
    <w:multiLevelType w:val="multilevel"/>
    <w:tmpl w:val="3DFC3B90"/>
    <w:lvl w:ilvl="0">
      <w:start w:val="8"/>
      <w:numFmt w:val="decimal"/>
      <w:pStyle w:val="InvestmentWill5"/>
      <w:lvlText w:val="%1."/>
      <w:lvlJc w:val="left"/>
      <w:pPr>
        <w:ind w:left="360" w:hanging="360"/>
      </w:pPr>
      <w:rPr>
        <w:rFonts w:ascii="Verdana" w:eastAsia="Verdana" w:hAnsi="Verdana" w:cs="Verdana"/>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0"/>
        <w:szCs w:val="20"/>
        <w:u w:val="none"/>
        <w:shd w:val="clear" w:color="auto" w:fill="auto"/>
        <w:vertAlign w:val="baseline"/>
      </w:rPr>
    </w:lvl>
    <w:lvl w:ilvl="2">
      <w:start w:val="1"/>
      <w:numFmt w:val="lowerRoman"/>
      <w:lvlText w:val="%3"/>
      <w:lvlJc w:val="left"/>
      <w:pPr>
        <w:ind w:left="1800" w:hanging="1800"/>
      </w:pPr>
      <w:rPr>
        <w:rFonts w:ascii="Verdana" w:eastAsia="Verdana" w:hAnsi="Verdana" w:cs="Verdana"/>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Verdana" w:eastAsia="Verdana" w:hAnsi="Verdana" w:cs="Verdana"/>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Verdana" w:eastAsia="Verdana" w:hAnsi="Verdana" w:cs="Verdana"/>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Verdana" w:eastAsia="Verdana" w:hAnsi="Verdana" w:cs="Verdana"/>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Verdana" w:eastAsia="Verdana" w:hAnsi="Verdana" w:cs="Verdana"/>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Verdana" w:eastAsia="Verdana" w:hAnsi="Verdana" w:cs="Verdana"/>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Verdana" w:eastAsia="Verdana" w:hAnsi="Verdana" w:cs="Verdana"/>
        <w:b w:val="0"/>
        <w:i w:val="0"/>
        <w:strike w:val="0"/>
        <w:color w:val="000000"/>
        <w:sz w:val="22"/>
        <w:szCs w:val="22"/>
        <w:u w:val="none"/>
        <w:shd w:val="clear" w:color="auto" w:fill="auto"/>
        <w:vertAlign w:val="baseline"/>
      </w:rPr>
    </w:lvl>
  </w:abstractNum>
  <w:abstractNum w:abstractNumId="9" w15:restartNumberingAfterBreak="0">
    <w:nsid w:val="739D2E96"/>
    <w:multiLevelType w:val="multilevel"/>
    <w:tmpl w:val="BB706B58"/>
    <w:lvl w:ilvl="0">
      <w:start w:val="1"/>
      <w:numFmt w:val="lowerRoman"/>
      <w:pStyle w:val="TextLevel1"/>
      <w:lvlText w:val="(%1)"/>
      <w:lvlJc w:val="left"/>
      <w:pPr>
        <w:ind w:left="1429" w:hanging="720"/>
      </w:pPr>
      <w:rPr>
        <w:rFonts w:ascii="Arial" w:eastAsia="Arial" w:hAnsi="Arial" w:cs="Arial"/>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78DE31E7"/>
    <w:multiLevelType w:val="multilevel"/>
    <w:tmpl w:val="3710B878"/>
    <w:lvl w:ilvl="0">
      <w:start w:val="1"/>
      <w:numFmt w:val="decimal"/>
      <w:pStyle w:val="Bullet"/>
      <w:lvlText w:val="%1."/>
      <w:lvlJc w:val="left"/>
      <w:pPr>
        <w:ind w:left="2280" w:hanging="720"/>
      </w:pPr>
      <w:rPr>
        <w:rFonts w:ascii="Arial" w:eastAsia="Arial" w:hAnsi="Arial" w:cs="Arial"/>
        <w:b/>
        <w:sz w:val="20"/>
        <w:szCs w:val="20"/>
        <w:u w:val="none"/>
      </w:rPr>
    </w:lvl>
    <w:lvl w:ilvl="1">
      <w:start w:val="1"/>
      <w:numFmt w:val="decimal"/>
      <w:lvlText w:val="%1.%2"/>
      <w:lvlJc w:val="left"/>
      <w:pPr>
        <w:ind w:left="786" w:hanging="360"/>
      </w:pPr>
      <w:rPr>
        <w:rFonts w:ascii="Arial" w:eastAsia="Arial" w:hAnsi="Arial" w:cs="Arial"/>
        <w:b w:val="0"/>
        <w:sz w:val="20"/>
        <w:szCs w:val="20"/>
        <w:u w:val="none"/>
      </w:rPr>
    </w:lvl>
    <w:lvl w:ilvl="2">
      <w:start w:val="1"/>
      <w:numFmt w:val="decimal"/>
      <w:lvlText w:val="%1.%2.%3"/>
      <w:lvlJc w:val="left"/>
      <w:pPr>
        <w:ind w:left="720" w:hanging="720"/>
      </w:pPr>
      <w:rPr>
        <w:b/>
        <w:u w:val="single"/>
      </w:rPr>
    </w:lvl>
    <w:lvl w:ilvl="3">
      <w:start w:val="1"/>
      <w:numFmt w:val="decimal"/>
      <w:lvlText w:val="%1.%2.%3.%4"/>
      <w:lvlJc w:val="left"/>
      <w:pPr>
        <w:ind w:left="720" w:hanging="720"/>
      </w:pPr>
      <w:rPr>
        <w:b/>
        <w:u w:val="single"/>
      </w:rPr>
    </w:lvl>
    <w:lvl w:ilvl="4">
      <w:start w:val="1"/>
      <w:numFmt w:val="decimal"/>
      <w:lvlText w:val="%1.%2.%3.%4.%5"/>
      <w:lvlJc w:val="left"/>
      <w:pPr>
        <w:ind w:left="1080" w:hanging="1080"/>
      </w:pPr>
      <w:rPr>
        <w:b/>
        <w:u w:val="single"/>
      </w:rPr>
    </w:lvl>
    <w:lvl w:ilvl="5">
      <w:start w:val="1"/>
      <w:numFmt w:val="decimal"/>
      <w:lvlText w:val="%1.%2.%3.%4.%5.%6"/>
      <w:lvlJc w:val="left"/>
      <w:pPr>
        <w:ind w:left="1080" w:hanging="1080"/>
      </w:pPr>
      <w:rPr>
        <w:b/>
        <w:u w:val="single"/>
      </w:rPr>
    </w:lvl>
    <w:lvl w:ilvl="6">
      <w:start w:val="1"/>
      <w:numFmt w:val="decimal"/>
      <w:lvlText w:val="%1.%2.%3.%4.%5.%6.%7"/>
      <w:lvlJc w:val="left"/>
      <w:pPr>
        <w:ind w:left="1440" w:hanging="1440"/>
      </w:pPr>
      <w:rPr>
        <w:b/>
        <w:u w:val="single"/>
      </w:rPr>
    </w:lvl>
    <w:lvl w:ilvl="7">
      <w:start w:val="1"/>
      <w:numFmt w:val="decimal"/>
      <w:lvlText w:val="%1.%2.%3.%4.%5.%6.%7.%8"/>
      <w:lvlJc w:val="left"/>
      <w:pPr>
        <w:ind w:left="1440" w:hanging="1440"/>
      </w:pPr>
      <w:rPr>
        <w:b/>
        <w:u w:val="single"/>
      </w:rPr>
    </w:lvl>
    <w:lvl w:ilvl="8">
      <w:start w:val="1"/>
      <w:numFmt w:val="decimal"/>
      <w:lvlText w:val="%1.%2.%3.%4.%5.%6.%7.%8.%9"/>
      <w:lvlJc w:val="left"/>
      <w:pPr>
        <w:ind w:left="1440" w:hanging="1440"/>
      </w:pPr>
      <w:rPr>
        <w:b/>
        <w:u w:val="single"/>
      </w:rPr>
    </w:lvl>
  </w:abstractNum>
  <w:abstractNum w:abstractNumId="11" w15:restartNumberingAfterBreak="0">
    <w:nsid w:val="7C8B374E"/>
    <w:multiLevelType w:val="multilevel"/>
    <w:tmpl w:val="CEEA67CC"/>
    <w:lvl w:ilvl="0">
      <w:start w:val="1"/>
      <w:numFmt w:val="decimal"/>
      <w:pStyle w:val="CNHead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07753377">
    <w:abstractNumId w:val="4"/>
  </w:num>
  <w:num w:numId="2" w16cid:durableId="1226066877">
    <w:abstractNumId w:val="10"/>
  </w:num>
  <w:num w:numId="3" w16cid:durableId="956060118">
    <w:abstractNumId w:val="6"/>
  </w:num>
  <w:num w:numId="4" w16cid:durableId="708914101">
    <w:abstractNumId w:val="5"/>
  </w:num>
  <w:num w:numId="5" w16cid:durableId="1588540264">
    <w:abstractNumId w:val="8"/>
  </w:num>
  <w:num w:numId="6" w16cid:durableId="642735355">
    <w:abstractNumId w:val="1"/>
  </w:num>
  <w:num w:numId="7" w16cid:durableId="1048191455">
    <w:abstractNumId w:val="3"/>
  </w:num>
  <w:num w:numId="8" w16cid:durableId="244266239">
    <w:abstractNumId w:val="7"/>
  </w:num>
  <w:num w:numId="9" w16cid:durableId="618101005">
    <w:abstractNumId w:val="2"/>
  </w:num>
  <w:num w:numId="10" w16cid:durableId="1671374211">
    <w:abstractNumId w:val="0"/>
  </w:num>
  <w:num w:numId="11" w16cid:durableId="767309382">
    <w:abstractNumId w:val="9"/>
  </w:num>
  <w:num w:numId="12" w16cid:durableId="1012806459">
    <w:abstractNumId w:val="11"/>
  </w:num>
  <w:num w:numId="13" w16cid:durableId="2444144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804363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76881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620184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987286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48B"/>
    <w:rsid w:val="0048561D"/>
    <w:rsid w:val="006F689F"/>
    <w:rsid w:val="007609B9"/>
    <w:rsid w:val="0095748B"/>
    <w:rsid w:val="00B136DA"/>
    <w:rsid w:val="00DB0C1C"/>
    <w:rsid w:val="00F405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49DD8"/>
  <w15:docId w15:val="{9E9246D4-5A2B-4E4F-9338-AE361BF68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ind w:left="360" w:hanging="360"/>
      <w:jc w:val="both"/>
      <w:outlineLvl w:val="0"/>
    </w:pPr>
    <w:rPr>
      <w:b/>
      <w:sz w:val="32"/>
      <w:szCs w:val="32"/>
      <w:u w:val="single"/>
    </w:rPr>
  </w:style>
  <w:style w:type="paragraph" w:styleId="Heading2">
    <w:name w:val="heading 2"/>
    <w:basedOn w:val="Normal"/>
    <w:next w:val="Normal"/>
    <w:uiPriority w:val="9"/>
    <w:unhideWhenUsed/>
    <w:qFormat/>
    <w:pPr>
      <w:keepNext/>
      <w:tabs>
        <w:tab w:val="left" w:pos="1065"/>
      </w:tabs>
      <w:spacing w:before="120"/>
      <w:jc w:val="both"/>
      <w:outlineLvl w:val="1"/>
    </w:pPr>
    <w:rPr>
      <w:b/>
      <w:sz w:val="18"/>
      <w:szCs w:val="18"/>
    </w:rPr>
  </w:style>
  <w:style w:type="paragraph" w:styleId="Heading3">
    <w:name w:val="heading 3"/>
    <w:basedOn w:val="Normal"/>
    <w:next w:val="Normal"/>
    <w:uiPriority w:val="9"/>
    <w:unhideWhenUsed/>
    <w:qFormat/>
    <w:pPr>
      <w:keepNext/>
      <w:spacing w:line="360" w:lineRule="auto"/>
      <w:ind w:left="360"/>
      <w:jc w:val="both"/>
      <w:outlineLvl w:val="2"/>
    </w:pPr>
    <w:rPr>
      <w:b/>
      <w:u w:val="single"/>
    </w:rPr>
  </w:style>
  <w:style w:type="paragraph" w:styleId="Heading4">
    <w:name w:val="heading 4"/>
    <w:basedOn w:val="Normal"/>
    <w:next w:val="Normal"/>
    <w:uiPriority w:val="9"/>
    <w:semiHidden/>
    <w:unhideWhenUsed/>
    <w:qFormat/>
    <w:pPr>
      <w:keepNext/>
      <w:tabs>
        <w:tab w:val="left" w:pos="1065"/>
      </w:tabs>
      <w:spacing w:before="120"/>
      <w:jc w:val="both"/>
      <w:outlineLvl w:val="3"/>
    </w:pPr>
    <w:rPr>
      <w:rFonts w:ascii="Trebuchet MS" w:eastAsia="Trebuchet MS" w:hAnsi="Trebuchet MS" w:cs="Trebuchet MS"/>
      <w:sz w:val="18"/>
      <w:szCs w:val="18"/>
    </w:rPr>
  </w:style>
  <w:style w:type="paragraph" w:styleId="Heading5">
    <w:name w:val="heading 5"/>
    <w:basedOn w:val="Normal"/>
    <w:next w:val="Normal"/>
    <w:uiPriority w:val="9"/>
    <w:semiHidden/>
    <w:unhideWhenUsed/>
    <w:qFormat/>
    <w:pPr>
      <w:keepNext/>
      <w:outlineLvl w:val="4"/>
    </w:pPr>
    <w:rPr>
      <w:rFonts w:ascii="Trebuchet MS" w:eastAsia="Trebuchet MS" w:hAnsi="Trebuchet MS" w:cs="Trebuchet MS"/>
      <w:sz w:val="18"/>
      <w:szCs w:val="18"/>
      <w:u w:val="single"/>
    </w:rPr>
  </w:style>
  <w:style w:type="paragraph" w:styleId="Heading6">
    <w:name w:val="heading 6"/>
    <w:basedOn w:val="Normal"/>
    <w:next w:val="Normal"/>
    <w:uiPriority w:val="9"/>
    <w:semiHidden/>
    <w:unhideWhenUsed/>
    <w:qFormat/>
    <w:pPr>
      <w:keepNext/>
      <w:spacing w:before="120" w:after="120" w:line="360" w:lineRule="auto"/>
      <w:outlineLvl w:val="5"/>
    </w:pPr>
    <w:rPr>
      <w:rFonts w:ascii="Verdana" w:eastAsia="Verdana" w:hAnsi="Verdana" w:cs="Verdana"/>
      <w:b/>
      <w:sz w:val="20"/>
      <w:szCs w:val="20"/>
    </w:rPr>
  </w:style>
  <w:style w:type="paragraph" w:styleId="Heading7">
    <w:name w:val="heading 7"/>
    <w:basedOn w:val="Normal"/>
    <w:next w:val="Normal"/>
    <w:qFormat/>
    <w:pPr>
      <w:keepNext/>
      <w:numPr>
        <w:ilvl w:val="6"/>
        <w:numId w:val="1"/>
      </w:numPr>
      <w:spacing w:line="360" w:lineRule="auto"/>
      <w:jc w:val="both"/>
      <w:outlineLvl w:val="6"/>
    </w:pPr>
    <w:rPr>
      <w:b/>
      <w:bCs/>
      <w:u w:val="single"/>
    </w:rPr>
  </w:style>
  <w:style w:type="paragraph" w:styleId="Heading8">
    <w:name w:val="heading 8"/>
    <w:basedOn w:val="Normal"/>
    <w:next w:val="Normal"/>
    <w:qFormat/>
    <w:pPr>
      <w:keepNext/>
      <w:numPr>
        <w:ilvl w:val="7"/>
        <w:numId w:val="1"/>
      </w:numPr>
      <w:tabs>
        <w:tab w:val="left" w:pos="720"/>
        <w:tab w:val="left" w:pos="2876"/>
        <w:tab w:val="left" w:pos="9174"/>
      </w:tabs>
      <w:spacing w:before="120" w:after="120" w:line="360" w:lineRule="auto"/>
      <w:ind w:left="720" w:hanging="720"/>
      <w:outlineLvl w:val="7"/>
    </w:pPr>
    <w:rPr>
      <w:rFonts w:ascii="Trebuchet MS" w:hAnsi="Trebuchet MS" w:cs="Arial"/>
      <w:b/>
      <w:bCs/>
      <w:sz w:val="20"/>
      <w:szCs w:val="20"/>
    </w:rPr>
  </w:style>
  <w:style w:type="paragraph" w:styleId="Heading9">
    <w:name w:val="heading 9"/>
    <w:basedOn w:val="Normal"/>
    <w:next w:val="Normal"/>
    <w:qFormat/>
    <w:pPr>
      <w:keepNext/>
      <w:numPr>
        <w:ilvl w:val="8"/>
        <w:numId w:val="1"/>
      </w:numPr>
      <w:tabs>
        <w:tab w:val="left" w:pos="720"/>
        <w:tab w:val="left" w:pos="1065"/>
      </w:tabs>
      <w:spacing w:before="120" w:after="120"/>
      <w:ind w:left="720" w:hanging="720"/>
      <w:jc w:val="both"/>
      <w:outlineLvl w:val="8"/>
    </w:pPr>
    <w:rPr>
      <w:rFonts w:ascii="Trebuchet MS" w:hAnsi="Trebuchet MS" w:cs="Trebuchet MS"/>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color w:val="084887"/>
    </w:rPr>
  </w:style>
  <w:style w:type="character" w:customStyle="1" w:styleId="WW8Num3z0">
    <w:name w:val="WW8Num3z0"/>
    <w:rPr>
      <w:rFonts w:ascii="Symbol" w:hAnsi="Symbol" w:cs="Symbol" w:hint="default"/>
    </w:rPr>
  </w:style>
  <w:style w:type="character" w:customStyle="1" w:styleId="WW8Num4z0">
    <w:name w:val="WW8Num4z0"/>
    <w:rPr>
      <w:rFonts w:ascii="Arial" w:hAnsi="Arial" w:cs="Arial" w:hint="default"/>
      <w:sz w:val="20"/>
      <w:lang w:val="en-GB"/>
    </w:rPr>
  </w:style>
  <w:style w:type="character" w:customStyle="1" w:styleId="WW8Num5z0">
    <w:name w:val="WW8Num5z0"/>
    <w:rPr>
      <w:rFonts w:ascii="Calibri" w:hAnsi="Calibri" w:cs="Arial"/>
      <w:b/>
      <w:i w:val="0"/>
      <w:caps w:val="0"/>
      <w:smallCaps w:val="0"/>
      <w:strike w:val="0"/>
      <w:dstrike w:val="0"/>
      <w:vanish w:val="0"/>
      <w:color w:val="auto"/>
      <w:position w:val="0"/>
      <w:sz w:val="20"/>
      <w:u w:val="none"/>
      <w:vertAlign w:val="baseline"/>
    </w:rPr>
  </w:style>
  <w:style w:type="character" w:customStyle="1" w:styleId="WW8Num5z1">
    <w:name w:val="WW8Num5z1"/>
    <w:rPr>
      <w:rFonts w:ascii="Calibri" w:hAnsi="Calibri" w:cs="Arial"/>
      <w:b w:val="0"/>
      <w:i w:val="0"/>
      <w:caps w:val="0"/>
      <w:smallCaps w:val="0"/>
      <w:strike w:val="0"/>
      <w:dstrike w:val="0"/>
      <w:vanish w:val="0"/>
      <w:color w:val="auto"/>
      <w:position w:val="0"/>
      <w:sz w:val="20"/>
      <w:u w:val="none"/>
      <w:vertAlign w:val="baseline"/>
    </w:rPr>
  </w:style>
  <w:style w:type="character" w:customStyle="1" w:styleId="WW8Num5z3">
    <w:name w:val="WW8Num5z3"/>
    <w:rPr>
      <w:rFonts w:ascii="Calibri" w:hAnsi="Calibri" w:cs="Calibri" w:hint="default"/>
      <w:b w:val="0"/>
      <w:i w:val="0"/>
      <w:caps w:val="0"/>
      <w:smallCaps w:val="0"/>
      <w:strike w:val="0"/>
      <w:dstrike w:val="0"/>
      <w:vanish w:val="0"/>
      <w:color w:val="auto"/>
      <w:position w:val="0"/>
      <w:sz w:val="20"/>
      <w:szCs w:val="20"/>
      <w:u w:val="none"/>
      <w:vertAlign w:val="baseline"/>
    </w:rPr>
  </w:style>
  <w:style w:type="character" w:customStyle="1" w:styleId="WW8Num5z4">
    <w:name w:val="WW8Num5z4"/>
    <w:rPr>
      <w:rFonts w:ascii="Arial" w:hAnsi="Arial" w:cs="Arial"/>
      <w:b w:val="0"/>
      <w:i w:val="0"/>
      <w:caps w:val="0"/>
      <w:smallCaps w:val="0"/>
      <w:strike w:val="0"/>
      <w:dstrike w:val="0"/>
      <w:vanish w:val="0"/>
      <w:color w:val="auto"/>
      <w:position w:val="0"/>
      <w:sz w:val="22"/>
      <w:u w:val="none"/>
      <w:vertAlign w:val="baseline"/>
    </w:rPr>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Symbol" w:hAnsi="Symbol" w:cs="Symbol" w:hint="default"/>
      <w:sz w:val="20"/>
      <w:szCs w:val="20"/>
    </w:rPr>
  </w:style>
  <w:style w:type="character" w:customStyle="1" w:styleId="WW8Num7z0">
    <w:name w:val="WW8Num7z0"/>
    <w:rPr>
      <w:rFonts w:ascii="Symbol" w:hAnsi="Symbol" w:cs="Symbol" w:hint="default"/>
      <w:szCs w:val="20"/>
    </w:rPr>
  </w:style>
  <w:style w:type="character" w:customStyle="1" w:styleId="WW8Num8z0">
    <w:name w:val="WW8Num8z0"/>
    <w:rPr>
      <w:rFonts w:ascii="Symbol" w:hAnsi="Symbol" w:cs="Symbol" w:hint="default"/>
      <w:szCs w:val="20"/>
      <w:lang w:eastAsia="en-GB"/>
    </w:rPr>
  </w:style>
  <w:style w:type="character" w:customStyle="1" w:styleId="WW8Num9z0">
    <w:name w:val="WW8Num9z0"/>
    <w:rPr>
      <w:rFonts w:ascii="Symbol" w:hAnsi="Symbol" w:cs="Symbol" w:hint="default"/>
      <w:szCs w:val="20"/>
    </w:rPr>
  </w:style>
  <w:style w:type="character" w:customStyle="1" w:styleId="WW8Num10z0">
    <w:name w:val="WW8Num10z0"/>
    <w:rPr>
      <w:rFonts w:ascii="Arial" w:hAnsi="Arial" w:cs="Arial" w:hint="default"/>
      <w:b/>
      <w:sz w:val="20"/>
      <w:szCs w:val="20"/>
      <w:u w:val="none"/>
      <w:lang w:val="en-GB"/>
    </w:rPr>
  </w:style>
  <w:style w:type="character" w:customStyle="1" w:styleId="WW8Num10z1">
    <w:name w:val="WW8Num10z1"/>
    <w:rPr>
      <w:rFonts w:ascii="Arial" w:eastAsia="Calibri" w:hAnsi="Arial" w:cs="Arial" w:hint="default"/>
      <w:b w:val="0"/>
      <w:sz w:val="20"/>
      <w:szCs w:val="20"/>
      <w:u w:val="none"/>
      <w:lang w:val="en-GB" w:eastAsia="en-US"/>
    </w:rPr>
  </w:style>
  <w:style w:type="character" w:customStyle="1" w:styleId="WW8Num10z2">
    <w:name w:val="WW8Num10z2"/>
    <w:rPr>
      <w:rFonts w:hint="default"/>
      <w:b/>
      <w:u w:val="single"/>
    </w:rPr>
  </w:style>
  <w:style w:type="character" w:customStyle="1" w:styleId="WW8Num11z0">
    <w:name w:val="WW8Num11z0"/>
    <w:rPr>
      <w:rFonts w:ascii="Arial" w:hAnsi="Arial" w:cs="Arial" w:hint="default"/>
      <w:b/>
      <w:bCs/>
      <w:i w:val="0"/>
      <w:iCs w:val="0"/>
      <w:caps w:val="0"/>
      <w:smallCaps w:val="0"/>
      <w:strike w:val="0"/>
      <w:dstrike w:val="0"/>
      <w:outline w:val="0"/>
      <w:shadow w:val="0"/>
      <w:color w:val="auto"/>
      <w:spacing w:val="0"/>
      <w:w w:val="100"/>
      <w:kern w:val="0"/>
      <w:position w:val="0"/>
      <w:sz w:val="22"/>
      <w:u w:val="none"/>
      <w:shd w:val="clear" w:color="auto" w:fill="auto"/>
      <w:vertAlign w:val="baseline"/>
      <w:em w:val="none"/>
    </w:rPr>
  </w:style>
  <w:style w:type="character" w:customStyle="1" w:styleId="WW8Num11z1">
    <w:name w:val="WW8Num11z1"/>
    <w:rPr>
      <w:rFonts w:ascii="Arial" w:hAnsi="Arial" w:cs="Arial" w:hint="default"/>
      <w:b w:val="0"/>
      <w:i w:val="0"/>
      <w:sz w:val="22"/>
    </w:rPr>
  </w:style>
  <w:style w:type="character" w:customStyle="1" w:styleId="WW8Num11z2">
    <w:name w:val="WW8Num11z2"/>
    <w:rPr>
      <w:b/>
    </w:rPr>
  </w:style>
  <w:style w:type="character" w:customStyle="1" w:styleId="WW8Num11z3">
    <w:name w:val="WW8Num11z3"/>
    <w:rPr>
      <w:rFonts w:ascii="Arial" w:hAnsi="Arial" w:cs="Arial" w:hint="default"/>
      <w:b w:val="0"/>
      <w:bCs w:val="0"/>
      <w:i w:val="0"/>
      <w:iCs w:val="0"/>
      <w:caps w:val="0"/>
      <w:smallCaps w:val="0"/>
      <w:strike w:val="0"/>
      <w:dstrike w:val="0"/>
      <w:outline w:val="0"/>
      <w:shadow w:val="0"/>
      <w:color w:val="auto"/>
      <w:spacing w:val="0"/>
      <w:w w:val="100"/>
      <w:kern w:val="0"/>
      <w:position w:val="0"/>
      <w:sz w:val="22"/>
      <w:u w:val="none"/>
      <w:shd w:val="clear" w:color="auto" w:fill="auto"/>
      <w:vertAlign w:val="baseline"/>
      <w:em w:val="none"/>
    </w:rPr>
  </w:style>
  <w:style w:type="character" w:customStyle="1" w:styleId="WW8Num11z4">
    <w:name w:val="WW8Num11z4"/>
    <w:rPr>
      <w:rFonts w:ascii="Times New Roman" w:hAnsi="Times New Roman" w:cs="Times New Roman" w:hint="default"/>
      <w:b w:val="0"/>
      <w:i w:val="0"/>
      <w:sz w:val="22"/>
    </w:rPr>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rPr>
  </w:style>
  <w:style w:type="character" w:customStyle="1" w:styleId="WW8Num14z0">
    <w:name w:val="WW8Num14z0"/>
    <w:rPr>
      <w:rFonts w:ascii="Arial" w:hAnsi="Arial" w:cs="Arial" w:hint="default"/>
      <w:sz w:val="20"/>
      <w:lang w:val="en-GB"/>
    </w:rPr>
  </w:style>
  <w:style w:type="character" w:customStyle="1" w:styleId="WW8Num15z0">
    <w:name w:val="WW8Num15z0"/>
    <w:rPr>
      <w:rFonts w:ascii="Symbol" w:hAnsi="Symbol" w:cs="Symbol" w:hint="default"/>
      <w:sz w:val="20"/>
      <w:szCs w:val="20"/>
      <w:lang w:val="en-GB" w:eastAsia="en-GB"/>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Arial" w:hAnsi="Arial" w:cs="Arial" w:hint="default"/>
      <w:sz w:val="20"/>
      <w:lang w:val="en-GB"/>
    </w:rPr>
  </w:style>
  <w:style w:type="character" w:customStyle="1" w:styleId="WW8Num18z0">
    <w:name w:val="WW8Num18z0"/>
  </w:style>
  <w:style w:type="character" w:customStyle="1" w:styleId="WW8Num18z1">
    <w:name w:val="WW8Num18z1"/>
    <w:rPr>
      <w:u w:val="single"/>
    </w:rPr>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Absatz-Standardschriftart2">
    <w:name w:val="Absatz-Standardschriftart2"/>
  </w:style>
  <w:style w:type="character" w:customStyle="1" w:styleId="WW8Num2z1">
    <w:name w:val="WW8Num2z1"/>
    <w:rPr>
      <w:rFonts w:hint="default"/>
      <w:lang w:val="en-US" w:bidi="ar-SA"/>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1">
    <w:name w:val="WW8Num4z1"/>
    <w:rPr>
      <w:rFonts w:hint="default"/>
      <w:lang w:val="en-US" w:bidi="ar-SA"/>
    </w:rPr>
  </w:style>
  <w:style w:type="character" w:customStyle="1" w:styleId="WW8Num6z1">
    <w:name w:val="WW8Num6z1"/>
    <w:rPr>
      <w:rFonts w:hint="default"/>
      <w:lang w:val="en-US" w:bidi="ar-SA"/>
    </w:rPr>
  </w:style>
  <w:style w:type="character" w:customStyle="1" w:styleId="WW8Num7z1">
    <w:name w:val="WW8Num7z1"/>
    <w:rPr>
      <w:rFonts w:hint="default"/>
      <w:lang w:val="en-US" w:bidi="ar-SA"/>
    </w:rPr>
  </w:style>
  <w:style w:type="character" w:customStyle="1" w:styleId="WW8Num8z1">
    <w:name w:val="WW8Num8z1"/>
    <w:rPr>
      <w:rFonts w:hint="default"/>
      <w:lang w:val="en-US" w:bidi="ar-SA"/>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3">
    <w:name w:val="WW8Num10z3"/>
    <w:rPr>
      <w:rFonts w:ascii="Cambria" w:eastAsia="Cambria" w:hAnsi="Cambria" w:cs="Cambria" w:hint="default"/>
      <w:b w:val="0"/>
      <w:bCs w:val="0"/>
      <w:i w:val="0"/>
      <w:iCs w:val="0"/>
      <w:w w:val="74"/>
      <w:sz w:val="19"/>
      <w:szCs w:val="19"/>
      <w:lang w:val="en-US" w:bidi="ar-SA"/>
    </w:rPr>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3z1">
    <w:name w:val="WW8Num13z1"/>
    <w:rPr>
      <w:rFonts w:ascii="Cambria" w:eastAsia="Cambria" w:hAnsi="Cambria" w:cs="Cambria" w:hint="default"/>
      <w:b w:val="0"/>
      <w:bCs w:val="0"/>
      <w:i w:val="0"/>
      <w:iCs w:val="0"/>
      <w:w w:val="74"/>
      <w:sz w:val="19"/>
      <w:szCs w:val="19"/>
      <w:lang w:val="en-US" w:bidi="ar-SA"/>
    </w:rPr>
  </w:style>
  <w:style w:type="character" w:customStyle="1" w:styleId="WW8Num13z2">
    <w:name w:val="WW8Num13z2"/>
    <w:rPr>
      <w:rFonts w:hint="default"/>
      <w:lang w:val="en-US" w:bidi="ar-SA"/>
    </w:rPr>
  </w:style>
  <w:style w:type="character" w:customStyle="1" w:styleId="WW8Num14z1">
    <w:name w:val="WW8Num14z1"/>
    <w:rPr>
      <w:rFonts w:ascii="Cambria" w:eastAsia="Cambria" w:hAnsi="Cambria" w:cs="Cambria" w:hint="default"/>
      <w:b w:val="0"/>
      <w:bCs w:val="0"/>
      <w:i w:val="0"/>
      <w:iCs w:val="0"/>
      <w:w w:val="74"/>
      <w:sz w:val="19"/>
      <w:szCs w:val="19"/>
      <w:lang w:val="en-US" w:bidi="ar-SA"/>
    </w:rPr>
  </w:style>
  <w:style w:type="character" w:customStyle="1" w:styleId="WW8Num14z2">
    <w:name w:val="WW8Num14z2"/>
    <w:rPr>
      <w:rFonts w:hint="default"/>
      <w:lang w:val="en-US" w:bidi="ar-SA"/>
    </w:rPr>
  </w:style>
  <w:style w:type="character" w:customStyle="1" w:styleId="WW8Num15z1">
    <w:name w:val="WW8Num15z1"/>
    <w:rPr>
      <w:rFonts w:hint="default"/>
      <w:lang w:val="en-US" w:bidi="ar-SA"/>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0">
    <w:name w:val="WW8Num19z0"/>
    <w:rPr>
      <w:rFonts w:ascii="Symbol" w:hAnsi="Symbol" w:cs="Symbol" w:hint="default"/>
      <w:szCs w:val="20"/>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hint="default"/>
      <w:lang w:val="en-US" w:bidi="ar-SA"/>
    </w:rPr>
  </w:style>
  <w:style w:type="character" w:customStyle="1" w:styleId="WW8Num20z1">
    <w:name w:val="WW8Num20z1"/>
    <w:rPr>
      <w:rFonts w:ascii="Cambria" w:eastAsia="Cambria" w:hAnsi="Cambria" w:cs="Cambria" w:hint="default"/>
      <w:b/>
      <w:bCs/>
      <w:i w:val="0"/>
      <w:iCs w:val="0"/>
      <w:w w:val="98"/>
      <w:sz w:val="19"/>
      <w:szCs w:val="19"/>
      <w:lang w:val="en-US" w:bidi="ar-SA"/>
    </w:rPr>
  </w:style>
  <w:style w:type="character" w:customStyle="1" w:styleId="WW8Num20z2">
    <w:name w:val="WW8Num20z2"/>
    <w:rPr>
      <w:rFonts w:ascii="Arial" w:eastAsia="Cambria" w:hAnsi="Arial" w:cs="Arial" w:hint="default"/>
      <w:b w:val="0"/>
      <w:bCs w:val="0"/>
      <w:i w:val="0"/>
      <w:iCs w:val="0"/>
      <w:w w:val="76"/>
      <w:sz w:val="20"/>
      <w:szCs w:val="20"/>
      <w:lang w:val="en-US" w:bidi="ar-SA"/>
    </w:rPr>
  </w:style>
  <w:style w:type="character" w:customStyle="1" w:styleId="WW8Num21z0">
    <w:name w:val="WW8Num21z0"/>
    <w:rPr>
      <w:rFonts w:ascii="Cambria" w:eastAsia="Cambria" w:hAnsi="Cambria" w:cs="Cambria" w:hint="default"/>
      <w:b w:val="0"/>
      <w:bCs w:val="0"/>
      <w:i w:val="0"/>
      <w:iCs w:val="0"/>
      <w:w w:val="76"/>
      <w:sz w:val="19"/>
      <w:szCs w:val="19"/>
      <w:lang w:val="en-US" w:bidi="ar-SA"/>
    </w:rPr>
  </w:style>
  <w:style w:type="character" w:customStyle="1" w:styleId="WW8Num21z1">
    <w:name w:val="WW8Num21z1"/>
    <w:rPr>
      <w:rFonts w:hint="default"/>
      <w:lang w:val="en-US" w:bidi="ar-SA"/>
    </w:rPr>
  </w:style>
  <w:style w:type="character" w:customStyle="1" w:styleId="WW8Num22z0">
    <w:name w:val="WW8Num22z0"/>
    <w:rPr>
      <w:rFonts w:hint="default"/>
      <w:lang w:val="en-US" w:bidi="ar-SA"/>
    </w:rPr>
  </w:style>
  <w:style w:type="character" w:customStyle="1" w:styleId="WW8Num22z1">
    <w:name w:val="WW8Num22z1"/>
    <w:rPr>
      <w:rFonts w:ascii="Cambria" w:eastAsia="Cambria" w:hAnsi="Cambria" w:cs="Cambria" w:hint="default"/>
      <w:b/>
      <w:bCs/>
      <w:i w:val="0"/>
      <w:iCs w:val="0"/>
      <w:w w:val="98"/>
      <w:sz w:val="19"/>
      <w:szCs w:val="19"/>
      <w:lang w:val="en-US" w:bidi="ar-SA"/>
    </w:rPr>
  </w:style>
  <w:style w:type="character" w:customStyle="1" w:styleId="WW8Num22z2">
    <w:name w:val="WW8Num22z2"/>
    <w:rPr>
      <w:rFonts w:ascii="Cambria" w:eastAsia="Cambria" w:hAnsi="Cambria" w:cs="Cambria" w:hint="default"/>
      <w:b w:val="0"/>
      <w:bCs w:val="0"/>
      <w:i w:val="0"/>
      <w:iCs w:val="0"/>
      <w:w w:val="76"/>
      <w:sz w:val="19"/>
      <w:szCs w:val="19"/>
      <w:lang w:val="en-US" w:bidi="ar-SA"/>
    </w:rPr>
  </w:style>
  <w:style w:type="character" w:customStyle="1" w:styleId="WW8Num22z3">
    <w:name w:val="WW8Num22z3"/>
    <w:rPr>
      <w:rFonts w:ascii="Cambria" w:eastAsia="Cambria" w:hAnsi="Cambria" w:cs="Cambria" w:hint="default"/>
      <w:b w:val="0"/>
      <w:bCs w:val="0"/>
      <w:i w:val="0"/>
      <w:iCs w:val="0"/>
      <w:w w:val="74"/>
      <w:sz w:val="19"/>
      <w:szCs w:val="19"/>
      <w:lang w:val="en-US" w:bidi="ar-SA"/>
    </w:rPr>
  </w:style>
  <w:style w:type="character" w:customStyle="1" w:styleId="WW8Num23z0">
    <w:name w:val="WW8Num23z0"/>
    <w:rPr>
      <w:rFonts w:ascii="Cambria" w:eastAsia="Cambria" w:hAnsi="Cambria" w:cs="Cambria" w:hint="default"/>
      <w:b w:val="0"/>
      <w:bCs w:val="0"/>
      <w:i w:val="0"/>
      <w:iCs w:val="0"/>
      <w:w w:val="76"/>
      <w:sz w:val="19"/>
      <w:szCs w:val="19"/>
      <w:lang w:val="en-US" w:bidi="ar-SA"/>
    </w:rPr>
  </w:style>
  <w:style w:type="character" w:customStyle="1" w:styleId="WW8Num23z1">
    <w:name w:val="WW8Num23z1"/>
    <w:rPr>
      <w:rFonts w:hint="default"/>
      <w:lang w:val="en-US" w:bidi="ar-SA"/>
    </w:rPr>
  </w:style>
  <w:style w:type="character" w:customStyle="1" w:styleId="WW8Num24z0">
    <w:name w:val="WW8Num24z0"/>
    <w:rPr>
      <w:rFonts w:ascii="Cambria" w:eastAsia="Cambria" w:hAnsi="Cambria" w:cs="Cambria" w:hint="default"/>
      <w:b w:val="0"/>
      <w:bCs w:val="0"/>
      <w:i w:val="0"/>
      <w:iCs w:val="0"/>
      <w:w w:val="76"/>
      <w:sz w:val="19"/>
      <w:szCs w:val="19"/>
      <w:lang w:val="en-US" w:bidi="ar-SA"/>
    </w:rPr>
  </w:style>
  <w:style w:type="character" w:customStyle="1" w:styleId="WW8Num24z1">
    <w:name w:val="WW8Num24z1"/>
    <w:rPr>
      <w:rFonts w:hint="default"/>
      <w:lang w:val="en-US" w:bidi="ar-SA"/>
    </w:rPr>
  </w:style>
  <w:style w:type="character" w:customStyle="1" w:styleId="WW8Num25z0">
    <w:name w:val="WW8Num25z0"/>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ascii="Symbol" w:hAnsi="Symbol" w:cs="Symbol" w:hint="default"/>
      <w:szCs w:val="20"/>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7z0">
    <w:name w:val="WW8Num27z0"/>
    <w:rPr>
      <w:rFonts w:ascii="Arial" w:hAnsi="Arial" w:cs="Arial" w:hint="default"/>
      <w:b/>
      <w:sz w:val="20"/>
      <w:szCs w:val="20"/>
      <w:u w:val="none"/>
      <w:lang w:val="en-GB"/>
    </w:rPr>
  </w:style>
  <w:style w:type="character" w:customStyle="1" w:styleId="WW8Num27z1">
    <w:name w:val="WW8Num27z1"/>
    <w:rPr>
      <w:rFonts w:ascii="Arial" w:hAnsi="Arial" w:cs="Arial" w:hint="default"/>
      <w:b w:val="0"/>
      <w:sz w:val="20"/>
      <w:szCs w:val="20"/>
      <w:u w:val="none"/>
      <w:lang w:val="en-GB"/>
    </w:rPr>
  </w:style>
  <w:style w:type="character" w:customStyle="1" w:styleId="WW8Num27z2">
    <w:name w:val="WW8Num27z2"/>
    <w:rPr>
      <w:rFonts w:hint="default"/>
      <w:b/>
      <w:u w:val="single"/>
    </w:rPr>
  </w:style>
  <w:style w:type="character" w:customStyle="1" w:styleId="WW8Num28z0">
    <w:name w:val="WW8Num28z0"/>
    <w:rPr>
      <w:rFonts w:hint="default"/>
      <w:sz w:val="24"/>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lang w:val="en-US" w:bidi="ar-SA"/>
    </w:rPr>
  </w:style>
  <w:style w:type="character" w:customStyle="1" w:styleId="WW8Num30z1">
    <w:name w:val="WW8Num30z1"/>
    <w:rPr>
      <w:rFonts w:ascii="Cambria" w:eastAsia="Cambria" w:hAnsi="Cambria" w:cs="Cambria" w:hint="default"/>
      <w:b/>
      <w:bCs/>
      <w:i w:val="0"/>
      <w:iCs w:val="0"/>
      <w:w w:val="98"/>
      <w:sz w:val="19"/>
      <w:szCs w:val="19"/>
      <w:lang w:val="en-US" w:bidi="ar-SA"/>
    </w:rPr>
  </w:style>
  <w:style w:type="character" w:customStyle="1" w:styleId="WW8Num30z2">
    <w:name w:val="WW8Num30z2"/>
    <w:rPr>
      <w:rFonts w:ascii="Cambria" w:eastAsia="Cambria" w:hAnsi="Cambria" w:cs="Cambria" w:hint="default"/>
      <w:b w:val="0"/>
      <w:bCs w:val="0"/>
      <w:i w:val="0"/>
      <w:iCs w:val="0"/>
      <w:w w:val="76"/>
      <w:sz w:val="19"/>
      <w:szCs w:val="19"/>
      <w:lang w:val="en-US" w:bidi="ar-SA"/>
    </w:rPr>
  </w:style>
  <w:style w:type="character" w:customStyle="1" w:styleId="WW8Num31z0">
    <w:name w:val="WW8Num31z0"/>
    <w:rPr>
      <w:rFonts w:hint="default"/>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hAnsi="Arial" w:cs="Arial" w:hint="default"/>
      <w:b/>
      <w:bCs/>
      <w:i w:val="0"/>
      <w:iCs w:val="0"/>
      <w:caps w:val="0"/>
      <w:smallCaps w:val="0"/>
      <w:strike w:val="0"/>
      <w:dstrike w:val="0"/>
      <w:outline w:val="0"/>
      <w:shadow w:val="0"/>
      <w:color w:val="auto"/>
      <w:spacing w:val="0"/>
      <w:w w:val="100"/>
      <w:kern w:val="0"/>
      <w:position w:val="0"/>
      <w:sz w:val="22"/>
      <w:u w:val="none"/>
      <w:shd w:val="clear" w:color="auto" w:fill="auto"/>
      <w:vertAlign w:val="baseline"/>
      <w:em w:val="none"/>
    </w:rPr>
  </w:style>
  <w:style w:type="character" w:customStyle="1" w:styleId="WW8Num32z1">
    <w:name w:val="WW8Num32z1"/>
    <w:rPr>
      <w:rFonts w:ascii="Arial" w:hAnsi="Arial" w:cs="Arial" w:hint="default"/>
      <w:b w:val="0"/>
      <w:i w:val="0"/>
      <w:sz w:val="22"/>
    </w:rPr>
  </w:style>
  <w:style w:type="character" w:customStyle="1" w:styleId="WW8Num32z2">
    <w:name w:val="WW8Num32z2"/>
    <w:rPr>
      <w:b/>
    </w:rPr>
  </w:style>
  <w:style w:type="character" w:customStyle="1" w:styleId="WW8Num32z3">
    <w:name w:val="WW8Num32z3"/>
    <w:rPr>
      <w:rFonts w:ascii="Arial" w:hAnsi="Arial" w:cs="Arial" w:hint="default"/>
      <w:b w:val="0"/>
      <w:bCs w:val="0"/>
      <w:i w:val="0"/>
      <w:iCs w:val="0"/>
      <w:caps w:val="0"/>
      <w:smallCaps w:val="0"/>
      <w:strike w:val="0"/>
      <w:dstrike w:val="0"/>
      <w:outline w:val="0"/>
      <w:shadow w:val="0"/>
      <w:color w:val="auto"/>
      <w:spacing w:val="0"/>
      <w:w w:val="100"/>
      <w:kern w:val="0"/>
      <w:position w:val="0"/>
      <w:sz w:val="22"/>
      <w:u w:val="none"/>
      <w:shd w:val="clear" w:color="auto" w:fill="auto"/>
      <w:vertAlign w:val="baseline"/>
      <w:em w:val="none"/>
    </w:rPr>
  </w:style>
  <w:style w:type="character" w:customStyle="1" w:styleId="WW8Num32z4">
    <w:name w:val="WW8Num32z4"/>
    <w:rPr>
      <w:rFonts w:ascii="Times New Roman" w:hAnsi="Times New Roman" w:cs="Times New Roman" w:hint="default"/>
      <w:b w:val="0"/>
      <w:i w:val="0"/>
      <w:sz w:val="22"/>
    </w:rPr>
  </w:style>
  <w:style w:type="character" w:customStyle="1" w:styleId="WW8Num32z8">
    <w:name w:val="WW8Num32z8"/>
  </w:style>
  <w:style w:type="character" w:customStyle="1" w:styleId="WW8Num33z0">
    <w:name w:val="WW8Num33z0"/>
    <w:rPr>
      <w:rFonts w:hint="default"/>
      <w:lang w:val="en-US" w:bidi="ar-SA"/>
    </w:rPr>
  </w:style>
  <w:style w:type="character" w:customStyle="1" w:styleId="WW8Num33z1">
    <w:name w:val="WW8Num33z1"/>
    <w:rPr>
      <w:rFonts w:ascii="Cambria" w:eastAsia="Cambria" w:hAnsi="Cambria" w:cs="Cambria" w:hint="default"/>
      <w:b/>
      <w:bCs/>
      <w:i w:val="0"/>
      <w:iCs w:val="0"/>
      <w:w w:val="98"/>
      <w:sz w:val="19"/>
      <w:szCs w:val="19"/>
      <w:lang w:val="en-US" w:bidi="ar-SA"/>
    </w:rPr>
  </w:style>
  <w:style w:type="character" w:customStyle="1" w:styleId="WW8Num33z2">
    <w:name w:val="WW8Num33z2"/>
    <w:rPr>
      <w:rFonts w:ascii="Cambria" w:eastAsia="Cambria" w:hAnsi="Cambria" w:cs="Cambria" w:hint="default"/>
      <w:b w:val="0"/>
      <w:bCs w:val="0"/>
      <w:i w:val="0"/>
      <w:iCs w:val="0"/>
      <w:w w:val="76"/>
      <w:sz w:val="19"/>
      <w:szCs w:val="19"/>
      <w:lang w:val="en-US" w:bidi="ar-SA"/>
    </w:rPr>
  </w:style>
  <w:style w:type="character" w:customStyle="1" w:styleId="WW8Num34z0">
    <w:name w:val="WW8Num34z0"/>
    <w:rPr>
      <w:rFonts w:ascii="Cambria" w:eastAsia="Cambria" w:hAnsi="Cambria" w:cs="Cambria" w:hint="default"/>
      <w:b w:val="0"/>
      <w:bCs w:val="0"/>
      <w:i w:val="0"/>
      <w:iCs w:val="0"/>
      <w:w w:val="74"/>
      <w:sz w:val="19"/>
      <w:szCs w:val="19"/>
      <w:lang w:val="en-US" w:bidi="ar-SA"/>
    </w:rPr>
  </w:style>
  <w:style w:type="character" w:customStyle="1" w:styleId="WW8Num34z1">
    <w:name w:val="WW8Num34z1"/>
    <w:rPr>
      <w:rFonts w:hint="default"/>
      <w:lang w:val="en-US" w:bidi="ar-SA"/>
    </w:rPr>
  </w:style>
  <w:style w:type="character" w:customStyle="1" w:styleId="WW8Num35z0">
    <w:name w:val="WW8Num35z0"/>
    <w:rPr>
      <w:rFonts w:hint="default"/>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Cambria" w:eastAsia="Cambria" w:hAnsi="Cambria" w:cs="Cambria" w:hint="default"/>
      <w:b w:val="0"/>
      <w:bCs w:val="0"/>
      <w:i w:val="0"/>
      <w:iCs w:val="0"/>
      <w:w w:val="76"/>
      <w:sz w:val="19"/>
      <w:szCs w:val="19"/>
      <w:lang w:val="en-US" w:bidi="ar-SA"/>
    </w:rPr>
  </w:style>
  <w:style w:type="character" w:customStyle="1" w:styleId="WW8Num36z1">
    <w:name w:val="WW8Num36z1"/>
    <w:rPr>
      <w:rFonts w:ascii="Cambria" w:eastAsia="Cambria" w:hAnsi="Cambria" w:cs="Cambria" w:hint="default"/>
      <w:b w:val="0"/>
      <w:bCs w:val="0"/>
      <w:i w:val="0"/>
      <w:iCs w:val="0"/>
      <w:w w:val="74"/>
      <w:sz w:val="19"/>
      <w:szCs w:val="19"/>
      <w:lang w:val="en-US" w:bidi="ar-SA"/>
    </w:rPr>
  </w:style>
  <w:style w:type="character" w:customStyle="1" w:styleId="WW8Num36z2">
    <w:name w:val="WW8Num36z2"/>
    <w:rPr>
      <w:rFonts w:hint="default"/>
      <w:lang w:val="en-US" w:bidi="ar-SA"/>
    </w:rPr>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hint="default"/>
      <w:lang w:val="en-US" w:bidi="ar-SA"/>
    </w:rPr>
  </w:style>
  <w:style w:type="character" w:customStyle="1" w:styleId="WW8Num38z1">
    <w:name w:val="WW8Num38z1"/>
    <w:rPr>
      <w:rFonts w:ascii="Cambria" w:eastAsia="Cambria" w:hAnsi="Cambria" w:cs="Cambria" w:hint="default"/>
      <w:b/>
      <w:bCs/>
      <w:i w:val="0"/>
      <w:iCs w:val="0"/>
      <w:w w:val="98"/>
      <w:sz w:val="19"/>
      <w:szCs w:val="19"/>
      <w:lang w:val="en-US" w:bidi="ar-SA"/>
    </w:rPr>
  </w:style>
  <w:style w:type="character" w:customStyle="1" w:styleId="WW8Num38z2">
    <w:name w:val="WW8Num38z2"/>
    <w:rPr>
      <w:rFonts w:ascii="Cambria" w:eastAsia="Cambria" w:hAnsi="Cambria" w:cs="Cambria" w:hint="default"/>
      <w:b w:val="0"/>
      <w:bCs w:val="0"/>
      <w:i w:val="0"/>
      <w:iCs w:val="0"/>
      <w:w w:val="76"/>
      <w:sz w:val="19"/>
      <w:szCs w:val="19"/>
      <w:lang w:val="en-US" w:bidi="ar-SA"/>
    </w:rPr>
  </w:style>
  <w:style w:type="character" w:customStyle="1" w:styleId="WW8Num39z0">
    <w:name w:val="WW8Num39z0"/>
    <w:rPr>
      <w:rFonts w:ascii="Arial" w:eastAsia="Cambria" w:hAnsi="Arial" w:cs="Arial" w:hint="default"/>
      <w:b w:val="0"/>
      <w:bCs w:val="0"/>
      <w:i w:val="0"/>
      <w:iCs w:val="0"/>
      <w:w w:val="76"/>
      <w:sz w:val="20"/>
      <w:szCs w:val="20"/>
      <w:lang w:val="en-US" w:bidi="ar-SA"/>
    </w:rPr>
  </w:style>
  <w:style w:type="character" w:customStyle="1" w:styleId="WW8Num39z1">
    <w:name w:val="WW8Num39z1"/>
    <w:rPr>
      <w:rFonts w:hint="default"/>
      <w:lang w:val="en-US" w:bidi="ar-SA"/>
    </w:rPr>
  </w:style>
  <w:style w:type="character" w:customStyle="1" w:styleId="WW8Num40z0">
    <w:name w:val="WW8Num40z0"/>
    <w:rPr>
      <w:rFonts w:ascii="Cambria" w:eastAsia="Cambria" w:hAnsi="Cambria" w:cs="Cambria" w:hint="default"/>
      <w:b w:val="0"/>
      <w:bCs w:val="0"/>
      <w:i w:val="0"/>
      <w:iCs w:val="0"/>
      <w:w w:val="76"/>
      <w:sz w:val="19"/>
      <w:szCs w:val="19"/>
      <w:lang w:val="en-US" w:bidi="ar-SA"/>
    </w:rPr>
  </w:style>
  <w:style w:type="character" w:customStyle="1" w:styleId="WW8Num40z1">
    <w:name w:val="WW8Num40z1"/>
    <w:rPr>
      <w:rFonts w:hint="default"/>
      <w:lang w:val="en-US" w:bidi="ar-SA"/>
    </w:rPr>
  </w:style>
  <w:style w:type="character" w:customStyle="1" w:styleId="WW8Num41z0">
    <w:name w:val="WW8Num41z0"/>
    <w:rPr>
      <w:rFonts w:ascii="Arial" w:eastAsia="Cambria" w:hAnsi="Arial" w:cs="Arial" w:hint="default"/>
      <w:b w:val="0"/>
      <w:bCs w:val="0"/>
      <w:i w:val="0"/>
      <w:iCs w:val="0"/>
      <w:w w:val="76"/>
      <w:sz w:val="20"/>
      <w:szCs w:val="20"/>
      <w:lang w:val="en-US" w:bidi="ar-SA"/>
    </w:rPr>
  </w:style>
  <w:style w:type="character" w:customStyle="1" w:styleId="WW8Num41z1">
    <w:name w:val="WW8Num41z1"/>
    <w:rPr>
      <w:rFonts w:ascii="Cambria" w:eastAsia="Cambria" w:hAnsi="Cambria" w:cs="Cambria" w:hint="default"/>
      <w:b w:val="0"/>
      <w:bCs w:val="0"/>
      <w:i w:val="0"/>
      <w:iCs w:val="0"/>
      <w:w w:val="74"/>
      <w:sz w:val="19"/>
      <w:szCs w:val="19"/>
      <w:lang w:val="en-US" w:bidi="ar-SA"/>
    </w:rPr>
  </w:style>
  <w:style w:type="character" w:customStyle="1" w:styleId="WW8Num41z2">
    <w:name w:val="WW8Num41z2"/>
    <w:rPr>
      <w:rFonts w:hint="default"/>
      <w:lang w:val="en-US" w:bidi="ar-SA"/>
    </w:rPr>
  </w:style>
  <w:style w:type="character" w:customStyle="1" w:styleId="WW8Num42z0">
    <w:name w:val="WW8Num42z0"/>
    <w:rPr>
      <w:rFonts w:hint="default"/>
      <w:lang w:val="en-US" w:bidi="ar-SA"/>
    </w:rPr>
  </w:style>
  <w:style w:type="character" w:customStyle="1" w:styleId="WW8Num42z1">
    <w:name w:val="WW8Num42z1"/>
    <w:rPr>
      <w:rFonts w:ascii="Cambria" w:eastAsia="Cambria" w:hAnsi="Cambria" w:cs="Cambria" w:hint="default"/>
      <w:b/>
      <w:bCs/>
      <w:i w:val="0"/>
      <w:iCs w:val="0"/>
      <w:w w:val="98"/>
      <w:sz w:val="19"/>
      <w:szCs w:val="19"/>
      <w:lang w:val="en-US" w:bidi="ar-SA"/>
    </w:rPr>
  </w:style>
  <w:style w:type="character" w:customStyle="1" w:styleId="WW8Num42z2">
    <w:name w:val="WW8Num42z2"/>
    <w:rPr>
      <w:rFonts w:ascii="Cambria" w:eastAsia="Cambria" w:hAnsi="Cambria" w:cs="Cambria" w:hint="default"/>
      <w:b w:val="0"/>
      <w:bCs w:val="0"/>
      <w:i w:val="0"/>
      <w:iCs w:val="0"/>
      <w:w w:val="76"/>
      <w:sz w:val="19"/>
      <w:szCs w:val="19"/>
      <w:lang w:val="en-US" w:bidi="ar-SA"/>
    </w:rPr>
  </w:style>
  <w:style w:type="character" w:customStyle="1" w:styleId="WW8Num43z0">
    <w:name w:val="WW8Num43z0"/>
    <w:rPr>
      <w:rFonts w:ascii="Arial" w:eastAsia="Cambria" w:hAnsi="Arial" w:cs="Arial" w:hint="default"/>
      <w:b w:val="0"/>
      <w:bCs w:val="0"/>
      <w:i w:val="0"/>
      <w:iCs w:val="0"/>
      <w:spacing w:val="-1"/>
      <w:w w:val="68"/>
      <w:sz w:val="20"/>
      <w:szCs w:val="20"/>
      <w:lang w:val="en-US" w:bidi="ar-SA"/>
    </w:rPr>
  </w:style>
  <w:style w:type="character" w:customStyle="1" w:styleId="WW8Num43z1">
    <w:name w:val="WW8Num43z1"/>
    <w:rPr>
      <w:rFonts w:ascii="Arial" w:eastAsia="Cambria" w:hAnsi="Arial" w:cs="Arial" w:hint="default"/>
      <w:b w:val="0"/>
      <w:bCs w:val="0"/>
      <w:i w:val="0"/>
      <w:iCs w:val="0"/>
      <w:w w:val="76"/>
      <w:sz w:val="20"/>
      <w:szCs w:val="20"/>
      <w:lang w:val="en-US" w:bidi="ar-SA"/>
    </w:rPr>
  </w:style>
  <w:style w:type="character" w:customStyle="1" w:styleId="WW8Num43z2">
    <w:name w:val="WW8Num43z2"/>
    <w:rPr>
      <w:rFonts w:ascii="Cambria" w:eastAsia="Cambria" w:hAnsi="Cambria" w:cs="Cambria" w:hint="default"/>
      <w:b w:val="0"/>
      <w:bCs w:val="0"/>
      <w:i w:val="0"/>
      <w:iCs w:val="0"/>
      <w:w w:val="74"/>
      <w:sz w:val="19"/>
      <w:szCs w:val="19"/>
      <w:lang w:val="en-US" w:bidi="ar-SA"/>
    </w:rPr>
  </w:style>
  <w:style w:type="character" w:customStyle="1" w:styleId="WW8Num43z3">
    <w:name w:val="WW8Num43z3"/>
    <w:rPr>
      <w:rFonts w:hint="default"/>
      <w:lang w:val="en-US" w:bidi="ar-SA"/>
    </w:rPr>
  </w:style>
  <w:style w:type="character" w:customStyle="1" w:styleId="WW8Num44z0">
    <w:name w:val="WW8Num44z0"/>
    <w:rPr>
      <w:rFonts w:ascii="Cambria" w:eastAsia="Cambria" w:hAnsi="Cambria" w:cs="Cambria" w:hint="default"/>
      <w:b w:val="0"/>
      <w:bCs w:val="0"/>
      <w:i w:val="0"/>
      <w:iCs w:val="0"/>
      <w:w w:val="76"/>
      <w:sz w:val="19"/>
      <w:szCs w:val="19"/>
      <w:lang w:val="en-US" w:bidi="ar-SA"/>
    </w:rPr>
  </w:style>
  <w:style w:type="character" w:customStyle="1" w:styleId="WW8Num44z1">
    <w:name w:val="WW8Num44z1"/>
    <w:rPr>
      <w:rFonts w:ascii="Cambria" w:eastAsia="Cambria" w:hAnsi="Cambria" w:cs="Cambria" w:hint="default"/>
      <w:b w:val="0"/>
      <w:bCs w:val="0"/>
      <w:i w:val="0"/>
      <w:iCs w:val="0"/>
      <w:w w:val="74"/>
      <w:sz w:val="19"/>
      <w:szCs w:val="19"/>
      <w:lang w:val="en-US" w:bidi="ar-SA"/>
    </w:rPr>
  </w:style>
  <w:style w:type="character" w:customStyle="1" w:styleId="WW8Num44z2">
    <w:name w:val="WW8Num44z2"/>
    <w:rPr>
      <w:rFonts w:hint="default"/>
      <w:lang w:val="en-US" w:bidi="ar-SA"/>
    </w:rPr>
  </w:style>
  <w:style w:type="character" w:customStyle="1" w:styleId="WW8Num45z0">
    <w:name w:val="WW8Num45z0"/>
    <w:rPr>
      <w:rFonts w:hint="default"/>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hint="default"/>
    </w:rPr>
  </w:style>
  <w:style w:type="character" w:customStyle="1" w:styleId="WW8Num47z0">
    <w:name w:val="WW8Num47z0"/>
    <w:rPr>
      <w:rFonts w:ascii="Arial" w:hAnsi="Arial" w:cs="Arial" w:hint="default"/>
      <w:sz w:val="20"/>
      <w:lang w:val="en-GB"/>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ascii="Symbol" w:eastAsia="Calibri" w:hAnsi="Symbol" w:cs="Symbol" w:hint="default"/>
      <w:sz w:val="20"/>
      <w:szCs w:val="20"/>
      <w:lang w:val="en-GB"/>
    </w:rPr>
  </w:style>
  <w:style w:type="character" w:customStyle="1" w:styleId="WW8Num48z1">
    <w:name w:val="WW8Num48z1"/>
    <w:rPr>
      <w:rFonts w:ascii="Courier New" w:hAnsi="Courier New" w:cs="Courier New" w:hint="default"/>
    </w:rPr>
  </w:style>
  <w:style w:type="character" w:customStyle="1" w:styleId="WW8Num48z2">
    <w:name w:val="WW8Num48z2"/>
    <w:rPr>
      <w:rFonts w:ascii="Wingdings" w:hAnsi="Wingdings" w:cs="Wingdings" w:hint="default"/>
    </w:rPr>
  </w:style>
  <w:style w:type="character" w:customStyle="1" w:styleId="WW8Num49z0">
    <w:name w:val="WW8Num49z0"/>
    <w:rPr>
      <w:rFonts w:ascii="Symbol" w:hAnsi="Symbol" w:cs="Symbol" w:hint="default"/>
    </w:rPr>
  </w:style>
  <w:style w:type="character" w:customStyle="1" w:styleId="WW8Num49z1">
    <w:name w:val="WW8Num49z1"/>
    <w:rPr>
      <w:rFonts w:ascii="Courier New" w:hAnsi="Courier New" w:cs="Courier New" w:hint="default"/>
    </w:rPr>
  </w:style>
  <w:style w:type="character" w:customStyle="1" w:styleId="WW8Num49z2">
    <w:name w:val="WW8Num49z2"/>
    <w:rPr>
      <w:rFonts w:ascii="Wingdings" w:hAnsi="Wingdings" w:cs="Wingdings" w:hint="default"/>
    </w:rPr>
  </w:style>
  <w:style w:type="character" w:customStyle="1" w:styleId="WW8Num50z0">
    <w:name w:val="WW8Num50z0"/>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cs="Arial" w:hint="default"/>
      <w:lang w:val="en-GB"/>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hint="default"/>
    </w:rPr>
  </w:style>
  <w:style w:type="character" w:customStyle="1" w:styleId="WW8Num52z1">
    <w:name w:val="WW8Num52z1"/>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0">
    <w:name w:val="WW8Num53z0"/>
  </w:style>
  <w:style w:type="character" w:customStyle="1" w:styleId="WW8Num53z1">
    <w:name w:val="WW8Num53z1"/>
    <w:rPr>
      <w:u w:val="single"/>
    </w:rPr>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Absatz-Standardschriftart1">
    <w:name w:val="Absatz-Standardschriftart1"/>
  </w:style>
  <w:style w:type="character" w:customStyle="1" w:styleId="berschrift1Zchn">
    <w:name w:val="Überschrift 1 Zchn"/>
    <w:rPr>
      <w:b/>
      <w:bCs/>
      <w:sz w:val="32"/>
      <w:szCs w:val="24"/>
      <w:u w:val="single"/>
      <w:lang w:val="en-GB"/>
    </w:rPr>
  </w:style>
  <w:style w:type="character" w:customStyle="1" w:styleId="berschrift2Zchn">
    <w:name w:val="Überschrift 2 Zchn"/>
    <w:rPr>
      <w:b/>
      <w:bCs/>
      <w:sz w:val="18"/>
      <w:szCs w:val="24"/>
      <w:lang w:val="en-GB"/>
    </w:rPr>
  </w:style>
  <w:style w:type="character" w:customStyle="1" w:styleId="berschrift5Zchn">
    <w:name w:val="Überschrift 5 Zchn"/>
    <w:rPr>
      <w:rFonts w:ascii="Trebuchet MS" w:hAnsi="Trebuchet MS" w:cs="Trebuchet MS"/>
      <w:sz w:val="18"/>
      <w:szCs w:val="24"/>
      <w:u w:val="single"/>
      <w:lang w:val="en-GB"/>
    </w:rPr>
  </w:style>
  <w:style w:type="character" w:customStyle="1" w:styleId="FuzeileZchn">
    <w:name w:val="Fußzeile Zchn"/>
    <w:rPr>
      <w:rFonts w:ascii="Arial" w:hAnsi="Arial" w:cs="Arial"/>
      <w:sz w:val="24"/>
      <w:lang w:val="pt-PT"/>
    </w:rPr>
  </w:style>
  <w:style w:type="character" w:customStyle="1" w:styleId="KopfzeileZchn">
    <w:name w:val="Kopfzeile Zchn"/>
    <w:rPr>
      <w:sz w:val="24"/>
      <w:szCs w:val="24"/>
      <w:lang w:val="en-US"/>
    </w:rPr>
  </w:style>
  <w:style w:type="character" w:customStyle="1" w:styleId="TextkrperZchn">
    <w:name w:val="Textkörper Zchn"/>
    <w:rPr>
      <w:sz w:val="18"/>
      <w:szCs w:val="24"/>
      <w:lang w:val="en-GB"/>
    </w:rPr>
  </w:style>
  <w:style w:type="character" w:customStyle="1" w:styleId="FootnoteCharacters">
    <w:name w:val="Footnote Characters"/>
    <w:rPr>
      <w:vertAlign w:val="superscript"/>
    </w:rPr>
  </w:style>
  <w:style w:type="character" w:styleId="PageNumber">
    <w:name w:val="page number"/>
    <w:basedOn w:val="Absatz-Standardschriftart1"/>
  </w:style>
  <w:style w:type="character" w:customStyle="1" w:styleId="Textkrper2Zchn">
    <w:name w:val="Textkörper 2 Zchn"/>
    <w:rPr>
      <w:rFonts w:ascii="Verdana" w:hAnsi="Verdana" w:cs="Verdana"/>
      <w:sz w:val="16"/>
      <w:szCs w:val="24"/>
      <w:lang w:val="en-GB"/>
    </w:rPr>
  </w:style>
  <w:style w:type="character" w:customStyle="1" w:styleId="Textkrper3Zchn">
    <w:name w:val="Textkörper 3 Zchn"/>
    <w:rPr>
      <w:rFonts w:ascii="Trebuchet MS" w:hAnsi="Trebuchet MS" w:cs="Trebuchet MS"/>
      <w:sz w:val="18"/>
      <w:szCs w:val="24"/>
      <w:lang w:val="en-GB"/>
    </w:rPr>
  </w:style>
  <w:style w:type="character" w:customStyle="1" w:styleId="Kommentarzeichen1">
    <w:name w:val="Kommentarzeichen1"/>
    <w:rPr>
      <w:sz w:val="16"/>
      <w:szCs w:val="16"/>
    </w:rPr>
  </w:style>
  <w:style w:type="character" w:customStyle="1" w:styleId="KommentartextZchn">
    <w:name w:val="Kommentartext Zchn"/>
    <w:rPr>
      <w:lang w:val="de-DE"/>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SprechblasentextZchn">
    <w:name w:val="Sprechblasentext Zchn"/>
    <w:rPr>
      <w:rFonts w:ascii="Tahoma" w:hAnsi="Tahoma" w:cs="Tahoma"/>
      <w:sz w:val="16"/>
      <w:szCs w:val="16"/>
      <w:lang w:val="de-DE"/>
    </w:rPr>
  </w:style>
  <w:style w:type="character" w:customStyle="1" w:styleId="KommentarthemaZchn1">
    <w:name w:val="Kommentarthema Zchn1"/>
    <w:rPr>
      <w:b/>
      <w:bCs/>
    </w:rPr>
  </w:style>
  <w:style w:type="character" w:customStyle="1" w:styleId="KommentarthemaZchn">
    <w:name w:val="Kommentarthema Zchn"/>
    <w:basedOn w:val="KommentartextZchn"/>
    <w:rPr>
      <w:lang w:val="de-DE"/>
    </w:rPr>
  </w:style>
  <w:style w:type="character" w:customStyle="1" w:styleId="bodytext">
    <w:name w:val="bodytext"/>
  </w:style>
  <w:style w:type="character" w:customStyle="1" w:styleId="InvestmentWill2Char">
    <w:name w:val="Investment_Will_2 Char"/>
    <w:rPr>
      <w:rFonts w:ascii="Calibri" w:hAnsi="Calibri" w:cs="Calibri"/>
      <w:lang w:val="en-CA"/>
    </w:rPr>
  </w:style>
  <w:style w:type="character" w:styleId="UnresolvedMention">
    <w:name w:val="Unresolved Mention"/>
    <w:rPr>
      <w:color w:val="808080"/>
      <w:shd w:val="clear" w:color="auto" w:fill="E6E6E6"/>
    </w:rPr>
  </w:style>
  <w:style w:type="character" w:customStyle="1" w:styleId="FunotentextZchn">
    <w:name w:val="Fußnotentext Zchn"/>
  </w:style>
  <w:style w:type="character" w:customStyle="1" w:styleId="berschrift3Zchn">
    <w:name w:val="Überschrift 3 Zchn"/>
    <w:rPr>
      <w:b/>
      <w:bCs/>
      <w:sz w:val="24"/>
      <w:szCs w:val="24"/>
      <w:u w:val="single"/>
      <w:lang w:val="en-GB"/>
    </w:rPr>
  </w:style>
  <w:style w:type="character" w:customStyle="1" w:styleId="berschrift4Zchn">
    <w:name w:val="Überschrift 4 Zchn"/>
    <w:rPr>
      <w:rFonts w:ascii="Trebuchet MS" w:hAnsi="Trebuchet MS" w:cs="Trebuchet MS"/>
      <w:sz w:val="18"/>
      <w:szCs w:val="24"/>
      <w:lang w:val="en-GB"/>
    </w:rPr>
  </w:style>
  <w:style w:type="character" w:customStyle="1" w:styleId="berschrift6Zchn">
    <w:name w:val="Überschrift 6 Zchn"/>
    <w:rPr>
      <w:rFonts w:ascii="Verdana" w:hAnsi="Verdana" w:cs="Verdana"/>
      <w:b/>
      <w:bCs/>
      <w:szCs w:val="24"/>
      <w:lang w:val="en-GB"/>
    </w:rPr>
  </w:style>
  <w:style w:type="character" w:customStyle="1" w:styleId="berschrift7Zchn">
    <w:name w:val="Überschrift 7 Zchn"/>
    <w:rPr>
      <w:b/>
      <w:bCs/>
      <w:sz w:val="24"/>
      <w:szCs w:val="24"/>
      <w:u w:val="single"/>
      <w:lang w:val="en-GB"/>
    </w:rPr>
  </w:style>
  <w:style w:type="character" w:customStyle="1" w:styleId="berschrift8Zchn">
    <w:name w:val="Überschrift 8 Zchn"/>
    <w:rPr>
      <w:rFonts w:ascii="Trebuchet MS" w:hAnsi="Trebuchet MS" w:cs="Arial"/>
      <w:b/>
      <w:bCs/>
    </w:rPr>
  </w:style>
  <w:style w:type="character" w:customStyle="1" w:styleId="berschrift9Zchn">
    <w:name w:val="Überschrift 9 Zchn"/>
    <w:rPr>
      <w:rFonts w:ascii="Trebuchet MS" w:hAnsi="Trebuchet MS" w:cs="Trebuchet MS"/>
      <w:b/>
      <w:bCs/>
      <w:szCs w:val="24"/>
      <w:lang w:val="en-GB"/>
    </w:rPr>
  </w:style>
  <w:style w:type="character" w:customStyle="1" w:styleId="Kommentarzeichen2">
    <w:name w:val="Kommentarzeichen2"/>
    <w:rPr>
      <w:sz w:val="16"/>
      <w:szCs w:val="16"/>
    </w:rPr>
  </w:style>
  <w:style w:type="character" w:customStyle="1" w:styleId="KommentartextZchn1">
    <w:name w:val="Kommentartext Zchn1"/>
    <w:rPr>
      <w:lang w:eastAsia="zh-CN"/>
    </w:rPr>
  </w:style>
  <w:style w:type="paragraph" w:customStyle="1" w:styleId="Heading">
    <w:name w:val="Heading"/>
    <w:basedOn w:val="Normal"/>
    <w:next w:val="BodyText0"/>
    <w:pPr>
      <w:keepNext/>
      <w:spacing w:before="240" w:after="120"/>
    </w:pPr>
    <w:rPr>
      <w:rFonts w:ascii="Liberation Sans" w:eastAsia="Noto Sans CJK SC" w:hAnsi="Liberation Sans" w:cs="Lohit Devanagari"/>
      <w:sz w:val="28"/>
      <w:szCs w:val="28"/>
    </w:rPr>
  </w:style>
  <w:style w:type="paragraph" w:styleId="BodyText0">
    <w:name w:val="Body Text"/>
    <w:basedOn w:val="Normal"/>
    <w:pPr>
      <w:spacing w:line="360" w:lineRule="auto"/>
      <w:jc w:val="both"/>
    </w:pPr>
    <w:rPr>
      <w:sz w:val="18"/>
    </w:rPr>
  </w:style>
  <w:style w:type="paragraph" w:styleId="List">
    <w:name w:val="List"/>
    <w:basedOn w:val="BodyText0"/>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pPr>
      <w:suppressLineNumbers/>
    </w:pPr>
    <w:rPr>
      <w:rFonts w:cs="Lohit Devanagari"/>
    </w:rPr>
  </w:style>
  <w:style w:type="paragraph" w:customStyle="1" w:styleId="Beschriftung2">
    <w:name w:val="Beschriftung2"/>
    <w:basedOn w:val="Normal"/>
    <w:pPr>
      <w:suppressLineNumbers/>
      <w:spacing w:before="120" w:after="120"/>
    </w:pPr>
    <w:rPr>
      <w:rFonts w:cs="Lohit Devanagari"/>
      <w:i/>
      <w:iCs/>
    </w:rPr>
  </w:style>
  <w:style w:type="paragraph" w:customStyle="1" w:styleId="HeaderandFooter">
    <w:name w:val="Header and Footer"/>
    <w:basedOn w:val="Normal"/>
    <w:pPr>
      <w:suppressLineNumbers/>
      <w:tabs>
        <w:tab w:val="center" w:pos="4819"/>
        <w:tab w:val="right" w:pos="9638"/>
      </w:tabs>
    </w:pPr>
  </w:style>
  <w:style w:type="paragraph" w:styleId="Footer">
    <w:name w:val="footer"/>
    <w:basedOn w:val="Normal"/>
    <w:pPr>
      <w:widowControl w:val="0"/>
      <w:tabs>
        <w:tab w:val="center" w:pos="4153"/>
        <w:tab w:val="right" w:pos="8306"/>
      </w:tabs>
      <w:jc w:val="both"/>
    </w:pPr>
    <w:rPr>
      <w:rFonts w:ascii="Arial" w:hAnsi="Arial" w:cs="Arial"/>
      <w:szCs w:val="20"/>
      <w:lang w:val="pt-PT"/>
    </w:rPr>
  </w:style>
  <w:style w:type="paragraph" w:styleId="Header">
    <w:name w:val="header"/>
    <w:basedOn w:val="Normal"/>
    <w:pPr>
      <w:tabs>
        <w:tab w:val="center" w:pos="4320"/>
        <w:tab w:val="right" w:pos="8640"/>
      </w:tabs>
    </w:pPr>
    <w:rPr>
      <w:lang w:val="en-US"/>
    </w:rPr>
  </w:style>
  <w:style w:type="paragraph" w:styleId="BodyTextIndent">
    <w:name w:val="Body Text Indent"/>
    <w:basedOn w:val="Normal"/>
    <w:pPr>
      <w:tabs>
        <w:tab w:val="left" w:pos="1065"/>
      </w:tabs>
      <w:spacing w:line="360" w:lineRule="auto"/>
      <w:ind w:left="1065"/>
      <w:jc w:val="both"/>
    </w:pPr>
    <w:rPr>
      <w:color w:val="FF0000"/>
      <w:sz w:val="18"/>
    </w:rPr>
  </w:style>
  <w:style w:type="paragraph" w:customStyle="1" w:styleId="TextLevel1">
    <w:name w:val="Text Level 1"/>
    <w:basedOn w:val="Normal"/>
    <w:pPr>
      <w:numPr>
        <w:numId w:val="11"/>
      </w:numPr>
      <w:spacing w:before="120" w:after="120"/>
      <w:jc w:val="both"/>
    </w:pPr>
    <w:rPr>
      <w:sz w:val="22"/>
      <w:szCs w:val="20"/>
    </w:rPr>
  </w:style>
  <w:style w:type="paragraph" w:customStyle="1" w:styleId="TextLevel2">
    <w:name w:val="Text Level 2"/>
    <w:basedOn w:val="Normal"/>
    <w:pPr>
      <w:spacing w:before="120" w:after="120"/>
      <w:ind w:left="1429" w:hanging="720"/>
      <w:jc w:val="both"/>
    </w:pPr>
    <w:rPr>
      <w:sz w:val="22"/>
      <w:szCs w:val="20"/>
    </w:rPr>
  </w:style>
  <w:style w:type="paragraph" w:customStyle="1" w:styleId="TextLevel3">
    <w:name w:val="Text Level 3"/>
    <w:basedOn w:val="Normal"/>
    <w:pPr>
      <w:spacing w:before="120" w:after="120"/>
      <w:ind w:left="1429" w:hanging="720"/>
      <w:jc w:val="both"/>
    </w:pPr>
    <w:rPr>
      <w:sz w:val="22"/>
      <w:szCs w:val="20"/>
    </w:rPr>
  </w:style>
  <w:style w:type="paragraph" w:customStyle="1" w:styleId="TextLevel4">
    <w:name w:val="Text Level 4"/>
    <w:basedOn w:val="Normal"/>
    <w:pPr>
      <w:spacing w:before="120" w:after="120"/>
      <w:ind w:left="1429" w:hanging="720"/>
      <w:jc w:val="both"/>
    </w:pPr>
    <w:rPr>
      <w:sz w:val="22"/>
      <w:szCs w:val="20"/>
    </w:rPr>
  </w:style>
  <w:style w:type="paragraph" w:customStyle="1" w:styleId="TextLevel5">
    <w:name w:val="Text Level 5"/>
    <w:basedOn w:val="Normal"/>
    <w:pPr>
      <w:spacing w:before="120" w:after="120"/>
      <w:ind w:left="1429" w:hanging="720"/>
      <w:jc w:val="both"/>
    </w:pPr>
    <w:rPr>
      <w:sz w:val="22"/>
      <w:szCs w:val="20"/>
    </w:rPr>
  </w:style>
  <w:style w:type="paragraph" w:customStyle="1" w:styleId="TextLevel6">
    <w:name w:val="Text Level 6"/>
    <w:basedOn w:val="Normal"/>
    <w:pPr>
      <w:spacing w:before="120" w:after="120"/>
      <w:ind w:left="1429" w:hanging="720"/>
      <w:jc w:val="both"/>
    </w:pPr>
    <w:rPr>
      <w:sz w:val="22"/>
      <w:szCs w:val="20"/>
    </w:rPr>
  </w:style>
  <w:style w:type="paragraph" w:customStyle="1" w:styleId="TextLevel7">
    <w:name w:val="Text Level 7"/>
    <w:basedOn w:val="Normal"/>
    <w:pPr>
      <w:spacing w:before="120" w:after="120"/>
      <w:ind w:left="1429" w:hanging="720"/>
      <w:jc w:val="both"/>
    </w:pPr>
    <w:rPr>
      <w:sz w:val="22"/>
      <w:szCs w:val="20"/>
    </w:rPr>
  </w:style>
  <w:style w:type="paragraph" w:customStyle="1" w:styleId="TextLevel8">
    <w:name w:val="Text Level 8"/>
    <w:basedOn w:val="Normal"/>
    <w:pPr>
      <w:spacing w:before="120" w:after="120"/>
      <w:ind w:left="1429" w:hanging="720"/>
      <w:jc w:val="both"/>
    </w:pPr>
    <w:rPr>
      <w:sz w:val="22"/>
      <w:szCs w:val="20"/>
    </w:rPr>
  </w:style>
  <w:style w:type="paragraph" w:customStyle="1" w:styleId="Text">
    <w:name w:val="Text"/>
    <w:basedOn w:val="Normal"/>
    <w:pPr>
      <w:tabs>
        <w:tab w:val="left" w:pos="284"/>
      </w:tabs>
      <w:overflowPunct w:val="0"/>
      <w:autoSpaceDE w:val="0"/>
      <w:spacing w:after="260"/>
      <w:jc w:val="both"/>
      <w:textAlignment w:val="baseline"/>
    </w:pPr>
    <w:rPr>
      <w:sz w:val="22"/>
      <w:szCs w:val="20"/>
    </w:rPr>
  </w:style>
  <w:style w:type="paragraph" w:styleId="FootnoteText">
    <w:name w:val="footnote text"/>
    <w:basedOn w:val="Normal"/>
    <w:rPr>
      <w:sz w:val="20"/>
      <w:szCs w:val="20"/>
    </w:rPr>
  </w:style>
  <w:style w:type="paragraph" w:customStyle="1" w:styleId="Textkrper21">
    <w:name w:val="Textkörper 21"/>
    <w:basedOn w:val="Normal"/>
    <w:rPr>
      <w:rFonts w:ascii="Verdana" w:hAnsi="Verdana" w:cs="Verdana"/>
      <w:sz w:val="16"/>
    </w:rPr>
  </w:style>
  <w:style w:type="paragraph" w:customStyle="1" w:styleId="Textkrper31">
    <w:name w:val="Textkörper 31"/>
    <w:basedOn w:val="Normal"/>
    <w:pPr>
      <w:spacing w:before="120" w:after="120" w:line="360" w:lineRule="auto"/>
    </w:pPr>
    <w:rPr>
      <w:rFonts w:ascii="Trebuchet MS" w:hAnsi="Trebuchet MS" w:cs="Trebuchet MS"/>
      <w:sz w:val="18"/>
    </w:rPr>
  </w:style>
  <w:style w:type="paragraph" w:customStyle="1" w:styleId="DocumentTitle">
    <w:name w:val="Document Title"/>
    <w:basedOn w:val="Normal"/>
    <w:next w:val="Normal"/>
    <w:pPr>
      <w:jc w:val="center"/>
    </w:pPr>
    <w:rPr>
      <w:rFonts w:ascii="Tahoma" w:hAnsi="Tahoma" w:cs="Tahoma"/>
      <w:b/>
      <w:bCs/>
      <w:caps/>
      <w:color w:val="084887"/>
      <w:sz w:val="48"/>
    </w:rPr>
  </w:style>
  <w:style w:type="paragraph" w:customStyle="1" w:styleId="Bullet1">
    <w:name w:val="Bullet 1"/>
    <w:pPr>
      <w:keepLines/>
      <w:numPr>
        <w:numId w:val="6"/>
      </w:numPr>
      <w:suppressAutoHyphens/>
      <w:spacing w:before="28" w:after="28"/>
      <w:jc w:val="both"/>
    </w:pPr>
    <w:rPr>
      <w:rFonts w:ascii="Arial" w:eastAsia="SimSun" w:hAnsi="Arial" w:cs="Arial"/>
      <w:color w:val="000000"/>
      <w:lang w:val="en-US" w:eastAsia="zh-CN"/>
    </w:rPr>
  </w:style>
  <w:style w:type="paragraph" w:customStyle="1" w:styleId="CNParagraph">
    <w:name w:val="CN Paragraph"/>
    <w:pPr>
      <w:suppressAutoHyphens/>
      <w:spacing w:before="28" w:after="28"/>
      <w:jc w:val="both"/>
    </w:pPr>
    <w:rPr>
      <w:rFonts w:ascii="Arial" w:hAnsi="Arial" w:cs="Arial"/>
      <w:lang w:val="en-US" w:eastAsia="zh-CN"/>
    </w:rPr>
  </w:style>
  <w:style w:type="paragraph" w:customStyle="1" w:styleId="CNHead1">
    <w:name w:val="CN Head 1"/>
    <w:basedOn w:val="CNParagraph"/>
    <w:pPr>
      <w:numPr>
        <w:numId w:val="12"/>
      </w:numPr>
      <w:spacing w:before="72"/>
      <w:jc w:val="left"/>
    </w:pPr>
    <w:rPr>
      <w:b/>
    </w:rPr>
  </w:style>
  <w:style w:type="paragraph" w:customStyle="1" w:styleId="CNHead2">
    <w:name w:val="CN Head 2"/>
    <w:basedOn w:val="CNParagraph"/>
    <w:pPr>
      <w:tabs>
        <w:tab w:val="left" w:pos="360"/>
        <w:tab w:val="num" w:pos="720"/>
      </w:tabs>
      <w:spacing w:before="72"/>
      <w:ind w:left="720" w:hanging="720"/>
      <w:jc w:val="left"/>
    </w:pPr>
    <w:rPr>
      <w:b/>
      <w:sz w:val="22"/>
    </w:rPr>
  </w:style>
  <w:style w:type="paragraph" w:customStyle="1" w:styleId="CNHead3">
    <w:name w:val="CN Head 3"/>
    <w:basedOn w:val="CNParagraph"/>
    <w:pPr>
      <w:tabs>
        <w:tab w:val="left" w:pos="360"/>
        <w:tab w:val="num" w:pos="720"/>
      </w:tabs>
      <w:spacing w:before="72"/>
      <w:ind w:left="720" w:hanging="720"/>
      <w:jc w:val="left"/>
    </w:pPr>
    <w:rPr>
      <w:b/>
    </w:rPr>
  </w:style>
  <w:style w:type="paragraph" w:customStyle="1" w:styleId="CNLevel1List">
    <w:name w:val="CN Level 1 List"/>
    <w:basedOn w:val="CNParagraph"/>
    <w:pPr>
      <w:tabs>
        <w:tab w:val="num" w:pos="720"/>
      </w:tabs>
      <w:ind w:left="720" w:hanging="720"/>
    </w:pPr>
  </w:style>
  <w:style w:type="paragraph" w:customStyle="1" w:styleId="CNLevel2List">
    <w:name w:val="CN Level 2 List"/>
    <w:basedOn w:val="CNParagraph"/>
    <w:pPr>
      <w:tabs>
        <w:tab w:val="num" w:pos="720"/>
      </w:tabs>
      <w:ind w:left="720" w:hanging="720"/>
    </w:pPr>
  </w:style>
  <w:style w:type="paragraph" w:customStyle="1" w:styleId="CNLevel3List">
    <w:name w:val="CN Level 3 List"/>
    <w:basedOn w:val="CNParagraph"/>
    <w:pPr>
      <w:tabs>
        <w:tab w:val="left" w:pos="360"/>
        <w:tab w:val="num" w:pos="720"/>
      </w:tabs>
      <w:ind w:left="720" w:hanging="720"/>
    </w:pPr>
  </w:style>
  <w:style w:type="paragraph" w:customStyle="1" w:styleId="CNLevel4List">
    <w:name w:val="CN Level 4 List"/>
    <w:basedOn w:val="CNParagraph"/>
    <w:pPr>
      <w:tabs>
        <w:tab w:val="left" w:pos="360"/>
        <w:tab w:val="num" w:pos="720"/>
      </w:tabs>
      <w:ind w:left="720" w:hanging="720"/>
    </w:pPr>
  </w:style>
  <w:style w:type="paragraph" w:customStyle="1" w:styleId="CNTitle">
    <w:name w:val="CN Title"/>
    <w:basedOn w:val="CNParagraph"/>
    <w:pPr>
      <w:tabs>
        <w:tab w:val="left" w:pos="360"/>
        <w:tab w:val="num" w:pos="720"/>
      </w:tabs>
      <w:spacing w:before="144" w:after="72"/>
      <w:ind w:left="720" w:hanging="720"/>
      <w:jc w:val="center"/>
    </w:pPr>
    <w:rPr>
      <w:b/>
      <w:sz w:val="28"/>
    </w:rPr>
  </w:style>
  <w:style w:type="paragraph" w:customStyle="1" w:styleId="CNLevel1Bullet">
    <w:name w:val="CN Level 1 Bullet"/>
    <w:basedOn w:val="CNParagraph"/>
    <w:pPr>
      <w:tabs>
        <w:tab w:val="num" w:pos="720"/>
      </w:tabs>
      <w:ind w:left="720" w:hanging="720"/>
    </w:pPr>
    <w:rPr>
      <w:szCs w:val="20"/>
    </w:rPr>
  </w:style>
  <w:style w:type="paragraph" w:customStyle="1" w:styleId="CNLevel2Bullet">
    <w:name w:val="CN Level 2 Bullet"/>
    <w:basedOn w:val="CNParagraph"/>
    <w:pPr>
      <w:tabs>
        <w:tab w:val="num" w:pos="720"/>
      </w:tabs>
      <w:ind w:left="720" w:hanging="720"/>
    </w:pPr>
    <w:rPr>
      <w:szCs w:val="20"/>
    </w:rPr>
  </w:style>
  <w:style w:type="paragraph" w:customStyle="1" w:styleId="CNLevel3Bullet">
    <w:name w:val="CN Level 3 Bullet"/>
    <w:basedOn w:val="CNParagraph"/>
    <w:pPr>
      <w:tabs>
        <w:tab w:val="num" w:pos="720"/>
      </w:tabs>
      <w:ind w:left="720" w:hanging="720"/>
    </w:pPr>
    <w:rPr>
      <w:szCs w:val="20"/>
    </w:rPr>
  </w:style>
  <w:style w:type="paragraph" w:customStyle="1" w:styleId="CNLevel4Bullet">
    <w:name w:val="CN Level 4 Bullet"/>
    <w:basedOn w:val="CNParagraph"/>
    <w:pPr>
      <w:tabs>
        <w:tab w:val="num" w:pos="720"/>
      </w:tabs>
      <w:ind w:left="720" w:hanging="720"/>
    </w:pPr>
    <w:rPr>
      <w:szCs w:val="20"/>
    </w:rPr>
  </w:style>
  <w:style w:type="paragraph" w:customStyle="1" w:styleId="CNLevel5Bullet">
    <w:name w:val="CN Level 5 Bullet"/>
    <w:basedOn w:val="CNParagraph"/>
    <w:pPr>
      <w:tabs>
        <w:tab w:val="num" w:pos="720"/>
      </w:tabs>
      <w:ind w:left="720" w:hanging="720"/>
    </w:pPr>
    <w:rPr>
      <w:szCs w:val="20"/>
    </w:rPr>
  </w:style>
  <w:style w:type="paragraph" w:customStyle="1" w:styleId="CNLevel6Bullet">
    <w:name w:val="CN Level 6 Bullet"/>
    <w:basedOn w:val="CNParagraph"/>
    <w:pPr>
      <w:tabs>
        <w:tab w:val="num" w:pos="720"/>
      </w:tabs>
      <w:ind w:left="720" w:hanging="720"/>
    </w:pPr>
    <w:rPr>
      <w:szCs w:val="20"/>
    </w:rPr>
  </w:style>
  <w:style w:type="paragraph" w:customStyle="1" w:styleId="CNInternalNoteLevel1Bullet">
    <w:name w:val="CN Internal Note Level 1 Bullet"/>
    <w:basedOn w:val="Normal"/>
    <w:pPr>
      <w:pBdr>
        <w:top w:val="none" w:sz="0" w:space="0" w:color="000000"/>
        <w:left w:val="none" w:sz="0" w:space="0" w:color="000000"/>
        <w:bottom w:val="none" w:sz="0" w:space="0" w:color="000000"/>
        <w:right w:val="double" w:sz="42" w:space="4" w:color="FF0000"/>
      </w:pBdr>
      <w:tabs>
        <w:tab w:val="num" w:pos="720"/>
      </w:tabs>
      <w:spacing w:before="28" w:after="28"/>
      <w:ind w:left="720" w:hanging="720"/>
      <w:jc w:val="both"/>
    </w:pPr>
    <w:rPr>
      <w:rFonts w:ascii="Arial" w:hAnsi="Arial" w:cs="Arial"/>
      <w:b/>
      <w:color w:val="FF0000"/>
      <w:sz w:val="18"/>
      <w:szCs w:val="20"/>
      <w:lang w:val="en-US"/>
    </w:rPr>
  </w:style>
  <w:style w:type="paragraph" w:customStyle="1" w:styleId="CNInternalNoteLevel2Bullet">
    <w:name w:val="CN Internal Note Level 2 Bullet"/>
    <w:basedOn w:val="Normal"/>
    <w:pPr>
      <w:pBdr>
        <w:top w:val="none" w:sz="0" w:space="0" w:color="000000"/>
        <w:left w:val="none" w:sz="0" w:space="0" w:color="000000"/>
        <w:bottom w:val="none" w:sz="0" w:space="0" w:color="000000"/>
        <w:right w:val="double" w:sz="42" w:space="4" w:color="FF0000"/>
      </w:pBdr>
      <w:tabs>
        <w:tab w:val="num" w:pos="720"/>
      </w:tabs>
      <w:spacing w:before="28" w:after="28"/>
      <w:ind w:left="720" w:hanging="720"/>
      <w:jc w:val="both"/>
    </w:pPr>
    <w:rPr>
      <w:rFonts w:ascii="Arial" w:hAnsi="Arial" w:cs="Arial"/>
      <w:b/>
      <w:color w:val="FF0000"/>
      <w:sz w:val="18"/>
      <w:szCs w:val="20"/>
      <w:lang w:val="en-US"/>
    </w:rPr>
  </w:style>
  <w:style w:type="paragraph" w:customStyle="1" w:styleId="CNActivityTitle">
    <w:name w:val="CN Activity Title"/>
    <w:basedOn w:val="CNParagraph"/>
    <w:next w:val="CNParagraph"/>
    <w:pPr>
      <w:tabs>
        <w:tab w:val="num" w:pos="720"/>
      </w:tabs>
      <w:spacing w:before="120"/>
      <w:ind w:left="720" w:hanging="720"/>
    </w:pPr>
    <w:rPr>
      <w:b/>
      <w:szCs w:val="20"/>
      <w:u w:val="single"/>
    </w:rPr>
  </w:style>
  <w:style w:type="paragraph" w:customStyle="1" w:styleId="CNTaskTitle">
    <w:name w:val="CN Task Title"/>
    <w:basedOn w:val="CNParagraph"/>
    <w:next w:val="CNLevel1Text"/>
    <w:pPr>
      <w:tabs>
        <w:tab w:val="num" w:pos="720"/>
      </w:tabs>
      <w:ind w:left="720" w:hanging="720"/>
    </w:pPr>
    <w:rPr>
      <w:b/>
      <w:i/>
      <w:szCs w:val="20"/>
    </w:rPr>
  </w:style>
  <w:style w:type="paragraph" w:customStyle="1" w:styleId="CNLevel1Text">
    <w:name w:val="CN Level 1 Text"/>
    <w:basedOn w:val="CNParagraph"/>
    <w:pPr>
      <w:ind w:left="360"/>
    </w:pPr>
  </w:style>
  <w:style w:type="paragraph" w:customStyle="1" w:styleId="CNActivityReset">
    <w:name w:val="CN Activity Reset"/>
    <w:basedOn w:val="CNParagraph"/>
    <w:next w:val="CNActivityTitle"/>
    <w:pPr>
      <w:tabs>
        <w:tab w:val="num" w:pos="720"/>
      </w:tabs>
      <w:ind w:left="720" w:hanging="720"/>
    </w:pPr>
    <w:rPr>
      <w:szCs w:val="20"/>
    </w:rPr>
  </w:style>
  <w:style w:type="paragraph" w:customStyle="1" w:styleId="CNTaskLevel3List">
    <w:name w:val="CN Task Level 3 List"/>
    <w:basedOn w:val="CNParagraph"/>
    <w:pPr>
      <w:tabs>
        <w:tab w:val="num" w:pos="720"/>
      </w:tabs>
      <w:spacing w:before="0" w:after="0"/>
      <w:ind w:left="720" w:hanging="720"/>
    </w:pPr>
    <w:rPr>
      <w:szCs w:val="20"/>
    </w:rPr>
  </w:style>
  <w:style w:type="paragraph" w:customStyle="1" w:styleId="CNTaskLevel2List">
    <w:name w:val="CN Task Level 2 List"/>
    <w:basedOn w:val="CNParagraph"/>
    <w:pPr>
      <w:tabs>
        <w:tab w:val="num" w:pos="720"/>
      </w:tabs>
      <w:spacing w:before="0" w:after="0"/>
      <w:ind w:left="720" w:hanging="720"/>
    </w:pPr>
    <w:rPr>
      <w:szCs w:val="20"/>
    </w:rPr>
  </w:style>
  <w:style w:type="paragraph" w:customStyle="1" w:styleId="CNTaskLevel4List">
    <w:name w:val="CN Task Level 4 List"/>
    <w:basedOn w:val="CNParagraph"/>
    <w:pPr>
      <w:tabs>
        <w:tab w:val="num" w:pos="720"/>
      </w:tabs>
      <w:spacing w:before="0" w:after="0"/>
      <w:ind w:left="720" w:hanging="720"/>
    </w:pPr>
    <w:rPr>
      <w:szCs w:val="20"/>
    </w:rPr>
  </w:style>
  <w:style w:type="paragraph" w:customStyle="1" w:styleId="CNTaskText">
    <w:name w:val="CN Task Text"/>
    <w:basedOn w:val="CNParagraph"/>
    <w:pPr>
      <w:numPr>
        <w:numId w:val="3"/>
      </w:numPr>
      <w:ind w:left="360" w:firstLine="0"/>
    </w:pPr>
    <w:rPr>
      <w:szCs w:val="20"/>
    </w:rPr>
  </w:style>
  <w:style w:type="paragraph" w:customStyle="1" w:styleId="Blocktext1">
    <w:name w:val="Blocktext1"/>
    <w:basedOn w:val="Normal"/>
    <w:pPr>
      <w:spacing w:before="120"/>
      <w:ind w:left="-540" w:right="-720"/>
    </w:pPr>
    <w:rPr>
      <w:rFonts w:ascii="Arial" w:hAnsi="Arial" w:cs="Arial"/>
      <w:sz w:val="20"/>
    </w:rPr>
  </w:style>
  <w:style w:type="paragraph" w:customStyle="1" w:styleId="CNParagraphChar1">
    <w:name w:val="CN Paragraph Char1"/>
    <w:pPr>
      <w:suppressAutoHyphens/>
      <w:spacing w:before="28" w:after="28"/>
      <w:jc w:val="both"/>
    </w:pPr>
    <w:rPr>
      <w:rFonts w:ascii="Arial" w:hAnsi="Arial" w:cs="Arial"/>
      <w:lang w:val="en-US" w:eastAsia="zh-CN"/>
    </w:rPr>
  </w:style>
  <w:style w:type="paragraph" w:customStyle="1" w:styleId="CNSubtitle">
    <w:name w:val="CN Subtitle"/>
    <w:basedOn w:val="CNParagraphChar1"/>
    <w:pPr>
      <w:jc w:val="center"/>
    </w:pPr>
    <w:rPr>
      <w:b/>
    </w:rPr>
  </w:style>
  <w:style w:type="paragraph" w:customStyle="1" w:styleId="Default">
    <w:name w:val="Default"/>
    <w:pPr>
      <w:suppressAutoHyphens/>
      <w:autoSpaceDE w:val="0"/>
    </w:pPr>
    <w:rPr>
      <w:rFonts w:ascii="Arial" w:hAnsi="Arial" w:cs="Arial"/>
      <w:color w:val="000000"/>
      <w:lang w:val="de-DE" w:eastAsia="zh-CN"/>
    </w:rPr>
  </w:style>
  <w:style w:type="paragraph" w:customStyle="1" w:styleId="Bullet">
    <w:name w:val="Bullet"/>
    <w:basedOn w:val="Normal"/>
    <w:pPr>
      <w:numPr>
        <w:numId w:val="2"/>
      </w:numPr>
      <w:jc w:val="both"/>
    </w:pPr>
    <w:rPr>
      <w:rFonts w:ascii="Tahoma" w:hAnsi="Tahoma" w:cs="Tahoma"/>
      <w:sz w:val="16"/>
    </w:rPr>
  </w:style>
  <w:style w:type="paragraph" w:customStyle="1" w:styleId="textlevel20">
    <w:name w:val="textlevel2"/>
    <w:basedOn w:val="Normal"/>
    <w:pPr>
      <w:spacing w:before="280" w:after="280"/>
    </w:pPr>
    <w:rPr>
      <w:rFonts w:ascii="Arial Unicode MS" w:eastAsia="Arial Unicode MS" w:hAnsi="Arial Unicode MS" w:cs="Arial Unicode MS"/>
    </w:rPr>
  </w:style>
  <w:style w:type="paragraph" w:customStyle="1" w:styleId="BalloonText1">
    <w:name w:val="Balloon Text1"/>
    <w:basedOn w:val="Normal"/>
    <w:rPr>
      <w:rFonts w:ascii="Tahoma" w:hAnsi="Tahoma" w:cs="Tahoma"/>
      <w:sz w:val="16"/>
      <w:szCs w:val="16"/>
    </w:rPr>
  </w:style>
  <w:style w:type="paragraph" w:customStyle="1" w:styleId="Kommentartext1">
    <w:name w:val="Kommentartext1"/>
    <w:basedOn w:val="Normal"/>
    <w:rPr>
      <w:sz w:val="20"/>
      <w:szCs w:val="20"/>
    </w:rPr>
  </w:style>
  <w:style w:type="paragraph" w:customStyle="1" w:styleId="CommentSubject1">
    <w:name w:val="Comment Subject1"/>
    <w:basedOn w:val="Kommentartext1"/>
    <w:next w:val="Kommentartext1"/>
    <w:rPr>
      <w:b/>
      <w:bCs/>
    </w:rPr>
  </w:style>
  <w:style w:type="paragraph" w:customStyle="1" w:styleId="CM1">
    <w:name w:val="CM1"/>
    <w:basedOn w:val="Default"/>
    <w:next w:val="Default"/>
    <w:pPr>
      <w:widowControl w:val="0"/>
    </w:pPr>
    <w:rPr>
      <w:rFonts w:ascii="LIPEDH+Arial" w:hAnsi="LIPEDH+Arial" w:cs="Times New Roman"/>
      <w:color w:val="auto"/>
      <w:lang w:val="en-GB"/>
    </w:rPr>
  </w:style>
  <w:style w:type="paragraph" w:customStyle="1" w:styleId="CM3">
    <w:name w:val="CM3"/>
    <w:basedOn w:val="Default"/>
    <w:next w:val="Default"/>
    <w:pPr>
      <w:widowControl w:val="0"/>
      <w:spacing w:line="258" w:lineRule="atLeast"/>
    </w:pPr>
    <w:rPr>
      <w:rFonts w:ascii="LIPEDH+Arial" w:hAnsi="LIPEDH+Arial" w:cs="Times New Roman"/>
      <w:color w:val="auto"/>
      <w:lang w:val="en-GB"/>
    </w:rPr>
  </w:style>
  <w:style w:type="paragraph" w:customStyle="1" w:styleId="CM31">
    <w:name w:val="CM31"/>
    <w:basedOn w:val="Default"/>
    <w:next w:val="Default"/>
    <w:pPr>
      <w:widowControl w:val="0"/>
      <w:spacing w:after="243"/>
    </w:pPr>
    <w:rPr>
      <w:rFonts w:ascii="LIPEDH+Arial" w:hAnsi="LIPEDH+Arial" w:cs="Times New Roman"/>
      <w:color w:val="auto"/>
      <w:lang w:val="en-GB"/>
    </w:rPr>
  </w:style>
  <w:style w:type="paragraph" w:customStyle="1" w:styleId="CM9">
    <w:name w:val="CM9"/>
    <w:basedOn w:val="Default"/>
    <w:next w:val="Default"/>
    <w:pPr>
      <w:widowControl w:val="0"/>
    </w:pPr>
    <w:rPr>
      <w:rFonts w:ascii="LIPEDH+Arial" w:hAnsi="LIPEDH+Arial" w:cs="Times New Roman"/>
      <w:color w:val="auto"/>
      <w:lang w:val="en-GB"/>
    </w:rPr>
  </w:style>
  <w:style w:type="paragraph" w:customStyle="1" w:styleId="CM18">
    <w:name w:val="CM18"/>
    <w:basedOn w:val="Default"/>
    <w:next w:val="Default"/>
    <w:pPr>
      <w:widowControl w:val="0"/>
      <w:spacing w:line="260" w:lineRule="atLeast"/>
    </w:pPr>
    <w:rPr>
      <w:rFonts w:ascii="LIPEDH+Arial" w:hAnsi="LIPEDH+Arial" w:cs="Times New Roman"/>
      <w:color w:val="auto"/>
      <w:lang w:val="en-GB"/>
    </w:rPr>
  </w:style>
  <w:style w:type="paragraph" w:customStyle="1" w:styleId="ListParagraph1">
    <w:name w:val="List Paragraph1"/>
    <w:basedOn w:val="Normal"/>
    <w:pPr>
      <w:ind w:left="720"/>
    </w:pPr>
  </w:style>
  <w:style w:type="paragraph" w:customStyle="1" w:styleId="font0">
    <w:name w:val="font0"/>
    <w:basedOn w:val="Normal"/>
    <w:pPr>
      <w:spacing w:before="280" w:after="280"/>
    </w:pPr>
    <w:rPr>
      <w:rFonts w:ascii="Arial" w:eastAsia="Arial Unicode MS" w:hAnsi="Arial" w:cs="Arial"/>
      <w:sz w:val="20"/>
      <w:szCs w:val="20"/>
    </w:rPr>
  </w:style>
  <w:style w:type="paragraph" w:styleId="BalloonText">
    <w:name w:val="Balloon Text"/>
    <w:basedOn w:val="Normal"/>
    <w:rPr>
      <w:rFonts w:ascii="Tahoma" w:hAnsi="Tahoma" w:cs="Tahoma"/>
      <w:sz w:val="16"/>
      <w:szCs w:val="16"/>
    </w:rPr>
  </w:style>
  <w:style w:type="paragraph" w:styleId="CommentSubject">
    <w:name w:val="annotation subject"/>
    <w:basedOn w:val="Kommentartext1"/>
    <w:next w:val="Kommentartext1"/>
    <w:rPr>
      <w:b/>
      <w:bCs/>
    </w:rPr>
  </w:style>
  <w:style w:type="paragraph" w:styleId="NormalWeb">
    <w:name w:val="Normal (Web)"/>
    <w:basedOn w:val="Normal"/>
  </w:style>
  <w:style w:type="paragraph" w:customStyle="1" w:styleId="FarbigeListe-Akzent11">
    <w:name w:val="Farbige Liste - Akzent 11"/>
    <w:basedOn w:val="Normal"/>
    <w:pPr>
      <w:spacing w:after="200" w:line="276" w:lineRule="auto"/>
      <w:ind w:left="720"/>
      <w:contextualSpacing/>
    </w:pPr>
    <w:rPr>
      <w:rFonts w:ascii="Calibri" w:eastAsia="Calibri" w:hAnsi="Calibri"/>
      <w:sz w:val="22"/>
      <w:szCs w:val="22"/>
      <w:lang w:val="en-SG"/>
    </w:rPr>
  </w:style>
  <w:style w:type="paragraph" w:customStyle="1" w:styleId="FarbigeSchattierung-Akzent11">
    <w:name w:val="Farbige Schattierung - Akzent 11"/>
    <w:pPr>
      <w:suppressAutoHyphens/>
    </w:pPr>
    <w:rPr>
      <w:rFonts w:ascii="Calibri" w:eastAsia="Calibri" w:hAnsi="Calibri" w:cs="Calibri"/>
      <w:sz w:val="22"/>
      <w:szCs w:val="22"/>
      <w:lang w:eastAsia="zh-CN"/>
    </w:rPr>
  </w:style>
  <w:style w:type="paragraph" w:customStyle="1" w:styleId="TWTextebene">
    <w:name w:val="TW Textebene"/>
    <w:pPr>
      <w:suppressAutoHyphens/>
      <w:spacing w:after="340" w:line="360" w:lineRule="auto"/>
      <w:jc w:val="both"/>
    </w:pPr>
    <w:rPr>
      <w:rFonts w:ascii="Arial" w:eastAsia="Calibri" w:hAnsi="Arial" w:cs="Arial"/>
      <w:sz w:val="21"/>
      <w:szCs w:val="21"/>
      <w:lang w:val="de-DE" w:eastAsia="zh-CN"/>
    </w:rPr>
  </w:style>
  <w:style w:type="paragraph" w:customStyle="1" w:styleId="Paragraph2">
    <w:name w:val="Paragraph 2"/>
    <w:basedOn w:val="BodyText0"/>
    <w:next w:val="Textkrper21"/>
    <w:pPr>
      <w:tabs>
        <w:tab w:val="left" w:pos="360"/>
      </w:tabs>
      <w:spacing w:after="240" w:line="240" w:lineRule="atLeast"/>
    </w:pPr>
    <w:rPr>
      <w:rFonts w:ascii="Arial" w:hAnsi="Arial" w:cs="Arial"/>
      <w:sz w:val="21"/>
      <w:szCs w:val="21"/>
    </w:rPr>
  </w:style>
  <w:style w:type="paragraph" w:customStyle="1" w:styleId="Paragraph3">
    <w:name w:val="Paragraph 3"/>
    <w:basedOn w:val="BodyText0"/>
    <w:next w:val="Textkrper31"/>
    <w:pPr>
      <w:tabs>
        <w:tab w:val="left" w:pos="360"/>
      </w:tabs>
      <w:spacing w:after="240" w:line="240" w:lineRule="atLeast"/>
    </w:pPr>
    <w:rPr>
      <w:rFonts w:ascii="Arial" w:hAnsi="Arial" w:cs="Arial"/>
      <w:sz w:val="21"/>
      <w:szCs w:val="21"/>
    </w:rPr>
  </w:style>
  <w:style w:type="paragraph" w:customStyle="1" w:styleId="Paragraph4">
    <w:name w:val="Paragraph 4"/>
    <w:basedOn w:val="BodyText0"/>
    <w:next w:val="Normal"/>
    <w:pPr>
      <w:tabs>
        <w:tab w:val="left" w:pos="360"/>
      </w:tabs>
      <w:spacing w:after="240" w:line="240" w:lineRule="atLeast"/>
    </w:pPr>
    <w:rPr>
      <w:rFonts w:ascii="Arial" w:hAnsi="Arial" w:cs="Arial"/>
      <w:sz w:val="21"/>
      <w:szCs w:val="21"/>
    </w:rPr>
  </w:style>
  <w:style w:type="paragraph" w:customStyle="1" w:styleId="Paragraph5">
    <w:name w:val="Paragraph 5"/>
    <w:basedOn w:val="BodyText0"/>
    <w:next w:val="Normal"/>
    <w:pPr>
      <w:tabs>
        <w:tab w:val="left" w:pos="360"/>
      </w:tabs>
      <w:spacing w:after="240" w:line="240" w:lineRule="atLeast"/>
    </w:pPr>
    <w:rPr>
      <w:rFonts w:ascii="Arial" w:hAnsi="Arial" w:cs="Arial"/>
      <w:sz w:val="21"/>
      <w:szCs w:val="21"/>
    </w:rPr>
  </w:style>
  <w:style w:type="paragraph" w:customStyle="1" w:styleId="Paragraph6">
    <w:name w:val="Paragraph 6"/>
    <w:basedOn w:val="BodyText0"/>
    <w:next w:val="Normal"/>
    <w:pPr>
      <w:tabs>
        <w:tab w:val="left" w:pos="360"/>
      </w:tabs>
      <w:spacing w:after="240" w:line="240" w:lineRule="atLeast"/>
    </w:pPr>
    <w:rPr>
      <w:rFonts w:ascii="Arial" w:hAnsi="Arial" w:cs="Arial"/>
      <w:sz w:val="21"/>
      <w:szCs w:val="21"/>
    </w:rPr>
  </w:style>
  <w:style w:type="paragraph" w:customStyle="1" w:styleId="RestartNumbering">
    <w:name w:val="Restart Numbering"/>
    <w:basedOn w:val="Normal"/>
    <w:pPr>
      <w:spacing w:line="276" w:lineRule="auto"/>
    </w:pPr>
    <w:rPr>
      <w:rFonts w:ascii="Arial" w:eastAsia="Calibri" w:hAnsi="Arial"/>
      <w:vanish/>
      <w:color w:val="00B050"/>
      <w:sz w:val="21"/>
      <w:szCs w:val="22"/>
    </w:rPr>
  </w:style>
  <w:style w:type="paragraph" w:customStyle="1" w:styleId="TableParagraph">
    <w:name w:val="Table Paragraph"/>
    <w:basedOn w:val="Normal"/>
    <w:pPr>
      <w:widowControl w:val="0"/>
    </w:pPr>
    <w:rPr>
      <w:rFonts w:ascii="Calibri" w:eastAsia="Calibri" w:hAnsi="Calibri"/>
      <w:sz w:val="22"/>
      <w:szCs w:val="22"/>
      <w:lang w:val="en-US"/>
    </w:rPr>
  </w:style>
  <w:style w:type="paragraph" w:customStyle="1" w:styleId="InvestmentWill5">
    <w:name w:val="Investment_Will_5"/>
    <w:basedOn w:val="Normal"/>
    <w:next w:val="Normal"/>
    <w:pPr>
      <w:numPr>
        <w:numId w:val="5"/>
      </w:numPr>
      <w:tabs>
        <w:tab w:val="left" w:pos="3600"/>
      </w:tabs>
      <w:spacing w:after="120"/>
      <w:ind w:left="3600"/>
    </w:pPr>
    <w:rPr>
      <w:rFonts w:ascii="Arial" w:eastAsia="Calibri" w:hAnsi="Arial"/>
      <w:sz w:val="22"/>
      <w:szCs w:val="22"/>
      <w:lang w:val="en-CA"/>
    </w:rPr>
  </w:style>
  <w:style w:type="paragraph" w:customStyle="1" w:styleId="InvestmentWill4">
    <w:name w:val="Investment_Will_4"/>
    <w:basedOn w:val="Normal"/>
    <w:next w:val="Normal"/>
    <w:pPr>
      <w:tabs>
        <w:tab w:val="left" w:pos="2880"/>
      </w:tabs>
      <w:spacing w:after="120"/>
      <w:ind w:left="2880" w:hanging="360"/>
      <w:contextualSpacing/>
      <w:jc w:val="both"/>
    </w:pPr>
    <w:rPr>
      <w:rFonts w:ascii="Arial" w:eastAsia="Calibri" w:hAnsi="Arial"/>
      <w:sz w:val="22"/>
      <w:szCs w:val="22"/>
      <w:lang w:val="en-CA"/>
    </w:rPr>
  </w:style>
  <w:style w:type="paragraph" w:customStyle="1" w:styleId="InvestmentWill3">
    <w:name w:val="Investment_Will_3"/>
    <w:basedOn w:val="Normal"/>
    <w:next w:val="Normal"/>
    <w:pPr>
      <w:spacing w:after="120"/>
      <w:ind w:left="2160" w:hanging="360"/>
      <w:jc w:val="both"/>
    </w:pPr>
    <w:rPr>
      <w:rFonts w:ascii="Calibri" w:eastAsia="Calibri" w:hAnsi="Calibri"/>
      <w:sz w:val="20"/>
      <w:szCs w:val="22"/>
      <w:lang w:val="en-CA"/>
    </w:rPr>
  </w:style>
  <w:style w:type="paragraph" w:customStyle="1" w:styleId="InvestmentWill2">
    <w:name w:val="Investment_Will_2"/>
    <w:basedOn w:val="Normal"/>
    <w:next w:val="Normal"/>
    <w:pPr>
      <w:spacing w:after="120"/>
      <w:ind w:left="360" w:hanging="360"/>
      <w:jc w:val="both"/>
    </w:pPr>
    <w:rPr>
      <w:rFonts w:ascii="Calibri" w:hAnsi="Calibri" w:cs="Calibri"/>
      <w:sz w:val="20"/>
      <w:szCs w:val="20"/>
      <w:lang w:val="en-CA"/>
    </w:rPr>
  </w:style>
  <w:style w:type="paragraph" w:customStyle="1" w:styleId="InvestmentWill1">
    <w:name w:val="Investment_Will_1"/>
    <w:basedOn w:val="Normal"/>
    <w:next w:val="Normal"/>
    <w:pPr>
      <w:keepNext/>
      <w:spacing w:after="120"/>
      <w:ind w:left="720" w:hanging="360"/>
      <w:jc w:val="both"/>
    </w:pPr>
    <w:rPr>
      <w:rFonts w:ascii="Calibri" w:eastAsia="Calibri" w:hAnsi="Calibri"/>
      <w:sz w:val="20"/>
      <w:szCs w:val="22"/>
      <w:lang w:val="en-CA"/>
    </w:rPr>
  </w:style>
  <w:style w:type="paragraph" w:customStyle="1" w:styleId="Beschriftung1">
    <w:name w:val="Beschriftung1"/>
    <w:basedOn w:val="Normal"/>
    <w:next w:val="Normal"/>
    <w:pPr>
      <w:tabs>
        <w:tab w:val="left" w:pos="720"/>
      </w:tabs>
      <w:spacing w:before="240"/>
      <w:ind w:left="720" w:hanging="720"/>
      <w:jc w:val="both"/>
    </w:pPr>
    <w:rPr>
      <w:rFonts w:ascii="Arial" w:hAnsi="Arial" w:cs="Arial"/>
      <w:b/>
      <w:bCs/>
      <w:smallCaps/>
      <w:sz w:val="20"/>
    </w:rPr>
  </w:style>
  <w:style w:type="paragraph" w:customStyle="1" w:styleId="Text1">
    <w:name w:val="Text 1"/>
    <w:basedOn w:val="Normal"/>
    <w:pPr>
      <w:spacing w:after="240"/>
      <w:ind w:left="482"/>
      <w:jc w:val="both"/>
    </w:pPr>
    <w:rPr>
      <w:szCs w:val="20"/>
    </w:rPr>
  </w:style>
  <w:style w:type="paragraph" w:customStyle="1" w:styleId="Point0">
    <w:name w:val="Point 0"/>
    <w:basedOn w:val="Normal"/>
    <w:pPr>
      <w:spacing w:before="120" w:after="120"/>
      <w:ind w:left="850" w:hanging="850"/>
      <w:jc w:val="both"/>
    </w:pPr>
    <w:rPr>
      <w:rFonts w:eastAsia="Calibri"/>
      <w:szCs w:val="22"/>
    </w:rPr>
  </w:style>
  <w:style w:type="paragraph" w:customStyle="1" w:styleId="Point1">
    <w:name w:val="Point 1"/>
    <w:basedOn w:val="Normal"/>
    <w:pPr>
      <w:spacing w:before="120" w:after="120"/>
      <w:ind w:left="1417" w:hanging="567"/>
      <w:jc w:val="both"/>
    </w:pPr>
    <w:rPr>
      <w:rFonts w:eastAsia="Calibri"/>
      <w:szCs w:val="22"/>
    </w:rPr>
  </w:style>
  <w:style w:type="paragraph" w:customStyle="1" w:styleId="ManualNumPar1">
    <w:name w:val="Manual NumPar 1"/>
    <w:basedOn w:val="Normal"/>
    <w:next w:val="Text1"/>
    <w:pPr>
      <w:spacing w:before="120" w:after="120"/>
      <w:ind w:left="850" w:hanging="850"/>
      <w:jc w:val="both"/>
    </w:pPr>
    <w:rPr>
      <w:rFonts w:eastAsia="Calibri"/>
      <w:szCs w:val="22"/>
    </w:rPr>
  </w:style>
  <w:style w:type="paragraph" w:customStyle="1" w:styleId="Annexetitre">
    <w:name w:val="Annexe titre"/>
    <w:basedOn w:val="Normal"/>
    <w:next w:val="Normal"/>
    <w:pPr>
      <w:spacing w:before="120" w:after="120"/>
      <w:jc w:val="center"/>
    </w:pPr>
    <w:rPr>
      <w:rFonts w:eastAsia="Calibri"/>
      <w:b/>
      <w:szCs w:val="22"/>
      <w:u w:val="single"/>
    </w:rPr>
  </w:style>
  <w:style w:type="paragraph" w:customStyle="1" w:styleId="Titrearticle">
    <w:name w:val="Titre article"/>
    <w:basedOn w:val="Normal"/>
    <w:next w:val="Normal"/>
    <w:pPr>
      <w:keepNext/>
      <w:spacing w:before="360" w:after="120"/>
      <w:jc w:val="center"/>
    </w:pPr>
    <w:rPr>
      <w:rFonts w:eastAsia="Calibri"/>
      <w:i/>
      <w:szCs w:val="22"/>
    </w:rPr>
  </w:style>
  <w:style w:type="paragraph" w:styleId="ListParagraph">
    <w:name w:val="List Paragraph"/>
    <w:basedOn w:val="Normal"/>
    <w:uiPriority w:val="1"/>
    <w:qFormat/>
    <w:pPr>
      <w:widowControl w:val="0"/>
      <w:autoSpaceDE w:val="0"/>
      <w:ind w:left="1042" w:hanging="720"/>
      <w:jc w:val="both"/>
    </w:pPr>
    <w:rPr>
      <w:rFonts w:ascii="Verdana" w:eastAsia="Verdana" w:hAnsi="Verdana" w:cs="Verdana"/>
      <w:sz w:val="22"/>
      <w:szCs w:val="22"/>
      <w:lang w:val="en-US"/>
    </w:rPr>
  </w:style>
  <w:style w:type="paragraph" w:styleId="Revision">
    <w:name w:val="Revision"/>
    <w:pPr>
      <w:suppressAutoHyphens/>
    </w:pPr>
    <w:rPr>
      <w:lang w:val="de-DE" w:eastAsia="zh-CN"/>
    </w:rPr>
  </w:style>
  <w:style w:type="paragraph" w:customStyle="1" w:styleId="BodyA">
    <w:name w:val="Body A"/>
    <w:pPr>
      <w:pBdr>
        <w:top w:val="none" w:sz="0" w:space="0" w:color="000000"/>
        <w:left w:val="none" w:sz="0" w:space="0" w:color="000000"/>
        <w:bottom w:val="none" w:sz="0" w:space="0" w:color="000000"/>
        <w:right w:val="none" w:sz="0" w:space="0" w:color="000000"/>
      </w:pBdr>
      <w:suppressAutoHyphens/>
    </w:pPr>
    <w:rPr>
      <w:color w:val="000000"/>
      <w:lang w:eastAsia="zh-CN"/>
    </w:rPr>
  </w:style>
  <w:style w:type="paragraph" w:customStyle="1" w:styleId="Normal12">
    <w:name w:val="Normal +12"/>
    <w:basedOn w:val="Normal"/>
    <w:pPr>
      <w:spacing w:before="240" w:after="240" w:line="260" w:lineRule="atLeast"/>
      <w:jc w:val="both"/>
    </w:pPr>
    <w:rPr>
      <w:rFonts w:ascii="Arial" w:eastAsia="Calibri" w:hAnsi="Arial" w:cs="Arial"/>
      <w:sz w:val="20"/>
      <w:szCs w:val="22"/>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Normal"/>
  </w:style>
  <w:style w:type="paragraph" w:customStyle="1" w:styleId="Kommentartext2">
    <w:name w:val="Kommentartext2"/>
    <w:basedOn w:val="Normal"/>
    <w:rPr>
      <w:sz w:val="20"/>
      <w:szCs w:val="20"/>
    </w:rPr>
  </w:style>
  <w:style w:type="character" w:styleId="CommentReference">
    <w:name w:val="annotation reference"/>
    <w:uiPriority w:val="99"/>
    <w:semiHidden/>
    <w:rsid w:val="00EB5620"/>
    <w:rPr>
      <w:sz w:val="16"/>
      <w:szCs w:val="16"/>
    </w:rPr>
  </w:style>
  <w:style w:type="character" w:customStyle="1" w:styleId="BodyChar">
    <w:name w:val="Body Char"/>
    <w:link w:val="Body"/>
    <w:locked/>
    <w:rsid w:val="00EB5620"/>
    <w:rPr>
      <w:rFonts w:ascii="Verdana" w:hAnsi="Verdana"/>
      <w:sz w:val="20"/>
      <w:szCs w:val="20"/>
      <w:lang w:eastAsia="de-DE"/>
    </w:rPr>
  </w:style>
  <w:style w:type="paragraph" w:customStyle="1" w:styleId="Body">
    <w:name w:val="Body"/>
    <w:basedOn w:val="Normal"/>
    <w:link w:val="BodyChar"/>
    <w:qFormat/>
    <w:rsid w:val="00EB5620"/>
    <w:pPr>
      <w:tabs>
        <w:tab w:val="num" w:pos="720"/>
        <w:tab w:val="left" w:pos="1843"/>
        <w:tab w:val="left" w:pos="3119"/>
        <w:tab w:val="left" w:pos="4253"/>
      </w:tabs>
      <w:spacing w:before="120" w:after="120" w:line="276" w:lineRule="auto"/>
      <w:ind w:left="720" w:hanging="720"/>
    </w:pPr>
    <w:rPr>
      <w:rFonts w:ascii="Verdana" w:hAnsi="Verdana"/>
      <w:sz w:val="20"/>
      <w:szCs w:val="20"/>
      <w:lang w:eastAsia="de-DE"/>
    </w:rPr>
  </w:style>
  <w:style w:type="paragraph" w:customStyle="1" w:styleId="aDefinition">
    <w:name w:val="(a) Definition"/>
    <w:basedOn w:val="Body"/>
    <w:qFormat/>
    <w:rsid w:val="00EB5620"/>
    <w:pPr>
      <w:numPr>
        <w:ilvl w:val="1"/>
      </w:numPr>
      <w:tabs>
        <w:tab w:val="clear" w:pos="1843"/>
        <w:tab w:val="clear" w:pos="3119"/>
        <w:tab w:val="clear" w:pos="4253"/>
        <w:tab w:val="num" w:pos="360"/>
        <w:tab w:val="num" w:pos="720"/>
      </w:tabs>
      <w:ind w:left="1080" w:hanging="360"/>
    </w:pPr>
    <w:rPr>
      <w:rFonts w:eastAsia="DengXian" w:cs="Arial"/>
    </w:rPr>
  </w:style>
  <w:style w:type="paragraph" w:customStyle="1" w:styleId="iDefinition">
    <w:name w:val="(i) Definition"/>
    <w:basedOn w:val="Body"/>
    <w:qFormat/>
    <w:rsid w:val="00EB5620"/>
    <w:pPr>
      <w:numPr>
        <w:ilvl w:val="2"/>
      </w:numPr>
      <w:tabs>
        <w:tab w:val="clear" w:pos="1843"/>
        <w:tab w:val="clear" w:pos="3119"/>
        <w:tab w:val="clear" w:pos="4253"/>
        <w:tab w:val="num" w:pos="360"/>
        <w:tab w:val="num" w:pos="720"/>
      </w:tabs>
      <w:ind w:left="1800" w:hanging="360"/>
    </w:pPr>
    <w:rPr>
      <w:rFonts w:eastAsia="DengXian" w:cs="Arial"/>
    </w:rPr>
  </w:style>
  <w:style w:type="paragraph" w:customStyle="1" w:styleId="Bodyindent">
    <w:name w:val="Body indent"/>
    <w:basedOn w:val="Body"/>
    <w:link w:val="BodyindentChar"/>
    <w:qFormat/>
    <w:rsid w:val="00EB5620"/>
    <w:pPr>
      <w:tabs>
        <w:tab w:val="clear" w:pos="720"/>
      </w:tabs>
      <w:ind w:left="261" w:hanging="261"/>
    </w:pPr>
    <w:rPr>
      <w:szCs w:val="18"/>
      <w:lang w:eastAsia="zh-CN"/>
    </w:rPr>
  </w:style>
  <w:style w:type="character" w:customStyle="1" w:styleId="BodyindentChar">
    <w:name w:val="Body indent Char"/>
    <w:link w:val="Bodyindent"/>
    <w:rsid w:val="00EB5620"/>
    <w:rPr>
      <w:rFonts w:ascii="Verdana" w:hAnsi="Verdana"/>
      <w:szCs w:val="18"/>
      <w:lang w:eastAsia="zh-CN"/>
    </w:rPr>
  </w:style>
  <w:style w:type="paragraph" w:customStyle="1" w:styleId="NormalNumbered">
    <w:name w:val="Normal Numbered"/>
    <w:basedOn w:val="Normal"/>
    <w:link w:val="NormalNumberedChar"/>
    <w:qFormat/>
    <w:rsid w:val="00EB5620"/>
    <w:pPr>
      <w:tabs>
        <w:tab w:val="num" w:pos="720"/>
      </w:tabs>
      <w:spacing w:after="200" w:line="276" w:lineRule="auto"/>
      <w:ind w:left="454" w:hanging="454"/>
    </w:pPr>
    <w:rPr>
      <w:rFonts w:ascii="Verdana" w:eastAsia="Verdana" w:hAnsi="Verdana" w:cs="Verdana"/>
      <w:color w:val="000000"/>
      <w:sz w:val="22"/>
      <w:szCs w:val="22"/>
    </w:rPr>
  </w:style>
  <w:style w:type="character" w:customStyle="1" w:styleId="NormalNumberedChar">
    <w:name w:val="Normal Numbered Char"/>
    <w:link w:val="NormalNumbered"/>
    <w:rsid w:val="00EB5620"/>
    <w:rPr>
      <w:rFonts w:ascii="Verdana" w:eastAsia="Verdana" w:hAnsi="Verdana" w:cs="Verdana"/>
      <w:color w:val="000000"/>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top w:w="108" w:type="dxa"/>
        <w:left w:w="115" w:type="dxa"/>
        <w:bottom w:w="108" w:type="dxa"/>
        <w:right w:w="115" w:type="dxa"/>
      </w:tblCellMar>
    </w:tblPr>
  </w:style>
  <w:style w:type="table" w:customStyle="1" w:styleId="a6">
    <w:basedOn w:val="TableNormal"/>
    <w:tblPr>
      <w:tblStyleRowBandSize w:val="1"/>
      <w:tblStyleColBandSize w:val="1"/>
      <w:tblCellMar>
        <w:top w:w="108" w:type="dxa"/>
        <w:left w:w="115" w:type="dxa"/>
        <w:bottom w:w="108" w:type="dxa"/>
        <w:right w:w="115" w:type="dxa"/>
      </w:tblCellMar>
    </w:tblPr>
  </w:style>
  <w:style w:type="table" w:customStyle="1" w:styleId="a7">
    <w:basedOn w:val="TableNormal"/>
    <w:tblPr>
      <w:tblStyleRowBandSize w:val="1"/>
      <w:tblStyleColBandSize w:val="1"/>
      <w:tblCellMar>
        <w:left w:w="57" w:type="dxa"/>
        <w:right w:w="57"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top w:w="108" w:type="dxa"/>
        <w:left w:w="115" w:type="dxa"/>
        <w:bottom w:w="108" w:type="dxa"/>
        <w:right w:w="57" w:type="dxa"/>
      </w:tblCellMar>
    </w:tblPr>
  </w:style>
  <w:style w:type="table" w:customStyle="1" w:styleId="aa">
    <w:basedOn w:val="TableNormal"/>
    <w:tblPr>
      <w:tblStyleRowBandSize w:val="1"/>
      <w:tblStyleColBandSize w:val="1"/>
      <w:tblCellMar>
        <w:top w:w="108" w:type="dxa"/>
        <w:left w:w="115" w:type="dxa"/>
        <w:bottom w:w="108"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90136662">
      <w:bodyDiv w:val="1"/>
      <w:marLeft w:val="0"/>
      <w:marRight w:val="0"/>
      <w:marTop w:val="0"/>
      <w:marBottom w:val="0"/>
      <w:divBdr>
        <w:top w:val="none" w:sz="0" w:space="0" w:color="auto"/>
        <w:left w:val="none" w:sz="0" w:space="0" w:color="auto"/>
        <w:bottom w:val="none" w:sz="0" w:space="0" w:color="auto"/>
        <w:right w:val="none" w:sz="0" w:space="0" w:color="auto"/>
      </w:divBdr>
    </w:div>
    <w:div w:id="298000810">
      <w:bodyDiv w:val="1"/>
      <w:marLeft w:val="0"/>
      <w:marRight w:val="0"/>
      <w:marTop w:val="0"/>
      <w:marBottom w:val="0"/>
      <w:divBdr>
        <w:top w:val="none" w:sz="0" w:space="0" w:color="auto"/>
        <w:left w:val="none" w:sz="0" w:space="0" w:color="auto"/>
        <w:bottom w:val="none" w:sz="0" w:space="0" w:color="auto"/>
        <w:right w:val="none" w:sz="0" w:space="0" w:color="auto"/>
      </w:divBdr>
    </w:div>
    <w:div w:id="447746195">
      <w:bodyDiv w:val="1"/>
      <w:marLeft w:val="0"/>
      <w:marRight w:val="0"/>
      <w:marTop w:val="0"/>
      <w:marBottom w:val="0"/>
      <w:divBdr>
        <w:top w:val="none" w:sz="0" w:space="0" w:color="auto"/>
        <w:left w:val="none" w:sz="0" w:space="0" w:color="auto"/>
        <w:bottom w:val="none" w:sz="0" w:space="0" w:color="auto"/>
        <w:right w:val="none" w:sz="0" w:space="0" w:color="auto"/>
      </w:divBdr>
    </w:div>
    <w:div w:id="1784616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TXT/HTML/?uri=CELEX:32021D0914&amp;from=EN/" TargetMode="Externa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as" TargetMode="Externa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0w1K6aRZnXuGx5BgRL9GIsM4Gg==">CgMxLjAyDmgudGZ5bjQxM2p5b284OAByITFyT09jUWFOVFRIR2lxelI2aUcwS3lwSmVEV2F0cTRFTw==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8247</Words>
  <Characters>43462</Characters>
  <Application>Microsoft Office Word</Application>
  <DocSecurity>0</DocSecurity>
  <Lines>965</Lines>
  <Paragraphs>474</Paragraphs>
  <ScaleCrop>false</ScaleCrop>
  <Company/>
  <LinksUpToDate>false</LinksUpToDate>
  <CharactersWithSpaces>51235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Lee Percox</cp:lastModifiedBy>
  <cp:revision>3</cp:revision>
  <dcterms:created xsi:type="dcterms:W3CDTF">2023-04-18T08:49:00Z</dcterms:created>
  <dcterms:modified xsi:type="dcterms:W3CDTF">2026-08-04T07:21:00Z</dcterms:modified>
</cp:coreProperties>
</file>